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151E5" w14:textId="77777777" w:rsidR="00923F67" w:rsidRPr="00973A99" w:rsidRDefault="00923F67" w:rsidP="00923F67">
      <w:pPr>
        <w:tabs>
          <w:tab w:val="left" w:pos="540"/>
        </w:tabs>
        <w:jc w:val="right"/>
        <w:rPr>
          <w:b/>
          <w:bCs/>
          <w:sz w:val="22"/>
          <w:szCs w:val="22"/>
          <w:lang w:val="lv-LV"/>
        </w:rPr>
      </w:pPr>
      <w:r w:rsidRPr="00973A99">
        <w:rPr>
          <w:b/>
          <w:bCs/>
          <w:sz w:val="22"/>
          <w:szCs w:val="22"/>
          <w:lang w:val="lv-LV"/>
        </w:rPr>
        <w:t xml:space="preserve">3.pielikums </w:t>
      </w:r>
    </w:p>
    <w:p w14:paraId="04CF9C75" w14:textId="77777777" w:rsidR="00923F67" w:rsidRPr="00973A99" w:rsidRDefault="00923F67" w:rsidP="00923F67">
      <w:pPr>
        <w:widowControl/>
        <w:overflowPunct/>
        <w:autoSpaceDE/>
        <w:adjustRightInd/>
        <w:spacing w:line="20" w:lineRule="atLeast"/>
        <w:jc w:val="right"/>
        <w:rPr>
          <w:rFonts w:eastAsia="SimSun"/>
          <w:b/>
          <w:kern w:val="0"/>
          <w:sz w:val="22"/>
          <w:szCs w:val="22"/>
          <w:lang w:val="lv-LV" w:eastAsia="zh-CN"/>
        </w:rPr>
      </w:pPr>
      <w:r w:rsidRPr="00973A99">
        <w:rPr>
          <w:sz w:val="22"/>
          <w:szCs w:val="22"/>
          <w:lang w:val="lv-LV"/>
        </w:rPr>
        <w:t>Cenu aptaujai "Vānes estrādes grīdas atjaunošana"</w:t>
      </w:r>
    </w:p>
    <w:p w14:paraId="2BB1D4F3" w14:textId="77777777" w:rsidR="00923F67" w:rsidRPr="00973A99" w:rsidRDefault="00923F67" w:rsidP="00923F67">
      <w:pPr>
        <w:pStyle w:val="Heading3"/>
        <w:jc w:val="center"/>
        <w:rPr>
          <w:rFonts w:ascii="Times New Roman" w:hAnsi="Times New Roman" w:cs="Times New Roman"/>
          <w:sz w:val="22"/>
          <w:szCs w:val="22"/>
          <w:lang w:val="lv-LV"/>
        </w:rPr>
      </w:pPr>
      <w:r w:rsidRPr="00973A99">
        <w:rPr>
          <w:rFonts w:ascii="Times New Roman" w:hAnsi="Times New Roman" w:cs="Times New Roman"/>
          <w:sz w:val="22"/>
          <w:szCs w:val="22"/>
          <w:lang w:val="lv-LV"/>
        </w:rPr>
        <w:t>TEHNISKĀ SPECIFIKĀCIJA</w:t>
      </w:r>
    </w:p>
    <w:p w14:paraId="60433AB4" w14:textId="77777777" w:rsidR="00923F67" w:rsidRPr="00973A99" w:rsidRDefault="00923F67" w:rsidP="00923F67">
      <w:pPr>
        <w:jc w:val="center"/>
        <w:rPr>
          <w:sz w:val="24"/>
          <w:szCs w:val="24"/>
          <w:lang w:val="lv-LV"/>
        </w:rPr>
      </w:pPr>
    </w:p>
    <w:p w14:paraId="0E2FEFB9" w14:textId="77777777" w:rsidR="00923F67" w:rsidRPr="00973A99" w:rsidRDefault="00923F67" w:rsidP="00923F67">
      <w:pPr>
        <w:widowControl/>
        <w:numPr>
          <w:ilvl w:val="0"/>
          <w:numId w:val="1"/>
        </w:numPr>
        <w:tabs>
          <w:tab w:val="num" w:pos="0"/>
        </w:tabs>
        <w:overflowPunct/>
        <w:autoSpaceDE/>
        <w:adjustRightInd/>
        <w:jc w:val="both"/>
        <w:rPr>
          <w:b/>
          <w:sz w:val="24"/>
          <w:szCs w:val="24"/>
          <w:lang w:val="lv-LV"/>
        </w:rPr>
      </w:pPr>
      <w:r w:rsidRPr="00973A99">
        <w:rPr>
          <w:b/>
          <w:sz w:val="24"/>
          <w:szCs w:val="24"/>
          <w:lang w:val="lv-LV"/>
        </w:rPr>
        <w:t>Vispārīgā informācija:</w:t>
      </w:r>
    </w:p>
    <w:p w14:paraId="600C4800" w14:textId="77777777" w:rsidR="00923F67" w:rsidRPr="00973A99" w:rsidRDefault="00923F67" w:rsidP="00923F67">
      <w:pPr>
        <w:widowControl/>
        <w:numPr>
          <w:ilvl w:val="1"/>
          <w:numId w:val="1"/>
        </w:numPr>
        <w:overflowPunct/>
        <w:autoSpaceDE/>
        <w:adjustRightInd/>
        <w:contextualSpacing/>
        <w:jc w:val="both"/>
        <w:rPr>
          <w:b/>
          <w:sz w:val="22"/>
          <w:szCs w:val="22"/>
          <w:lang w:val="lv-LV"/>
        </w:rPr>
      </w:pPr>
      <w:r w:rsidRPr="00973A99">
        <w:rPr>
          <w:b/>
          <w:bCs/>
          <w:sz w:val="22"/>
          <w:szCs w:val="22"/>
          <w:lang w:val="lv-LV"/>
        </w:rPr>
        <w:t xml:space="preserve"> </w:t>
      </w:r>
      <w:r w:rsidRPr="00973A99">
        <w:rPr>
          <w:sz w:val="22"/>
          <w:szCs w:val="22"/>
          <w:lang w:val="lv-LV"/>
        </w:rPr>
        <w:t xml:space="preserve">Tehniskā specifikācija ir tehnisko aprakstu apkopojums, kas nosaka Pasūtītāja prasības attiecībā </w:t>
      </w:r>
      <w:bookmarkStart w:id="0" w:name="_Hlk498067152"/>
      <w:r w:rsidRPr="00973A99">
        <w:rPr>
          <w:sz w:val="22"/>
          <w:szCs w:val="22"/>
          <w:lang w:val="lv-LV"/>
        </w:rPr>
        <w:t xml:space="preserve">uz </w:t>
      </w:r>
      <w:bookmarkStart w:id="1" w:name="_Hlk483843848"/>
      <w:r w:rsidRPr="00973A99">
        <w:rPr>
          <w:sz w:val="22"/>
          <w:szCs w:val="22"/>
          <w:lang w:val="lv-LV"/>
        </w:rPr>
        <w:t>Apliecinājuma kartē “</w:t>
      </w:r>
      <w:bookmarkEnd w:id="0"/>
      <w:r w:rsidRPr="00973A99">
        <w:rPr>
          <w:sz w:val="22"/>
          <w:szCs w:val="22"/>
          <w:lang w:val="lv-LV"/>
        </w:rPr>
        <w:t>Vānes estrādes deju grīdas atjaunošana” (turpmāk – Apliecinājuma karte) paredzētajiem darbiem (turpmāk</w:t>
      </w:r>
      <w:bookmarkEnd w:id="1"/>
      <w:r w:rsidRPr="00973A99">
        <w:rPr>
          <w:sz w:val="22"/>
          <w:szCs w:val="22"/>
          <w:lang w:val="lv-LV"/>
        </w:rPr>
        <w:t xml:space="preserve"> – Darbi). Specifikācija ietver Pasūtītāja prasības, kuras Pretendentam piedāvājuma sagatavošanas laikā ir uzmanīgi jāizanalizē un jāņem vērā piedāvājuma sagatavošanā. </w:t>
      </w:r>
    </w:p>
    <w:p w14:paraId="5232FFE4" w14:textId="77777777" w:rsidR="00923F67" w:rsidRPr="00973A99" w:rsidRDefault="00923F67" w:rsidP="00923F67">
      <w:pPr>
        <w:widowControl/>
        <w:numPr>
          <w:ilvl w:val="1"/>
          <w:numId w:val="1"/>
        </w:numPr>
        <w:overflowPunct/>
        <w:autoSpaceDE/>
        <w:adjustRightInd/>
        <w:contextualSpacing/>
        <w:jc w:val="both"/>
        <w:rPr>
          <w:b/>
          <w:sz w:val="22"/>
          <w:szCs w:val="22"/>
          <w:lang w:val="lv-LV"/>
        </w:rPr>
      </w:pPr>
      <w:r w:rsidRPr="00973A99">
        <w:rPr>
          <w:sz w:val="22"/>
          <w:szCs w:val="22"/>
          <w:lang w:val="lv-LV"/>
        </w:rPr>
        <w:t>Apliecinājuma kartes izstrādātājs – SIA “Jaunpils projekts”, BKR Nr. 9278-R.</w:t>
      </w:r>
    </w:p>
    <w:p w14:paraId="098FAA25" w14:textId="77777777" w:rsidR="00923F67" w:rsidRPr="00973A99" w:rsidRDefault="00923F67" w:rsidP="00923F67">
      <w:pPr>
        <w:widowControl/>
        <w:numPr>
          <w:ilvl w:val="1"/>
          <w:numId w:val="1"/>
        </w:numPr>
        <w:overflowPunct/>
        <w:autoSpaceDE/>
        <w:adjustRightInd/>
        <w:contextualSpacing/>
        <w:jc w:val="both"/>
        <w:rPr>
          <w:b/>
          <w:sz w:val="22"/>
          <w:szCs w:val="22"/>
          <w:lang w:val="lv-LV"/>
        </w:rPr>
      </w:pPr>
      <w:r w:rsidRPr="00973A99">
        <w:rPr>
          <w:sz w:val="22"/>
          <w:szCs w:val="22"/>
          <w:lang w:val="lv-LV"/>
        </w:rPr>
        <w:t xml:space="preserve">Parakstot Līgumu, Pretendents apliecina, ka ir iepazinies un izpētījis apstākļus, kas varētu ietekmēt Cenu aptaujas priekšmeta izpildi un samaksas noteikšanu par Cenu aptaujas priekšmeta izpildi. </w:t>
      </w:r>
    </w:p>
    <w:p w14:paraId="677EF886" w14:textId="77777777" w:rsidR="00923F67" w:rsidRPr="00973A99" w:rsidRDefault="00923F67" w:rsidP="00923F67">
      <w:pPr>
        <w:widowControl/>
        <w:numPr>
          <w:ilvl w:val="1"/>
          <w:numId w:val="1"/>
        </w:numPr>
        <w:overflowPunct/>
        <w:autoSpaceDE/>
        <w:adjustRightInd/>
        <w:contextualSpacing/>
        <w:jc w:val="both"/>
        <w:rPr>
          <w:b/>
          <w:sz w:val="22"/>
          <w:szCs w:val="22"/>
          <w:lang w:val="lv-LV"/>
        </w:rPr>
      </w:pPr>
      <w:r w:rsidRPr="00973A99">
        <w:rPr>
          <w:sz w:val="22"/>
          <w:szCs w:val="22"/>
          <w:lang w:val="lv-LV"/>
        </w:rPr>
        <w:t>Pretendents ar savu piedāvājumu apliecina, ka ir iegūtas visas tiesību aktos pieprasītās atļaujas un licences, kas ir vajadzīgas šīs Cenu aptaujas prasību īstenošanai.</w:t>
      </w:r>
    </w:p>
    <w:p w14:paraId="0D111788" w14:textId="77777777" w:rsidR="00923F67" w:rsidRPr="00973A99" w:rsidRDefault="00923F67" w:rsidP="00923F67">
      <w:pPr>
        <w:widowControl/>
        <w:overflowPunct/>
        <w:autoSpaceDE/>
        <w:adjustRightInd/>
        <w:ind w:left="792"/>
        <w:contextualSpacing/>
        <w:jc w:val="both"/>
        <w:rPr>
          <w:b/>
          <w:sz w:val="22"/>
          <w:szCs w:val="22"/>
          <w:lang w:val="lv-LV"/>
        </w:rPr>
      </w:pPr>
    </w:p>
    <w:p w14:paraId="63C070A1" w14:textId="77777777" w:rsidR="00923F67" w:rsidRPr="00973A99" w:rsidRDefault="00923F67" w:rsidP="00923F67">
      <w:pPr>
        <w:numPr>
          <w:ilvl w:val="0"/>
          <w:numId w:val="1"/>
        </w:numPr>
        <w:contextualSpacing/>
        <w:jc w:val="both"/>
        <w:rPr>
          <w:b/>
          <w:sz w:val="24"/>
          <w:szCs w:val="24"/>
          <w:lang w:val="lv-LV"/>
        </w:rPr>
      </w:pPr>
      <w:r w:rsidRPr="00973A99">
        <w:rPr>
          <w:b/>
          <w:sz w:val="24"/>
          <w:szCs w:val="24"/>
          <w:lang w:val="lv-LV"/>
        </w:rPr>
        <w:t>Prasības piedāvājuma izstrādei</w:t>
      </w:r>
    </w:p>
    <w:p w14:paraId="68ADC17A" w14:textId="77777777" w:rsidR="00923F67" w:rsidRPr="00973A99" w:rsidRDefault="00923F67" w:rsidP="00923F67">
      <w:pPr>
        <w:numPr>
          <w:ilvl w:val="1"/>
          <w:numId w:val="1"/>
        </w:numPr>
        <w:contextualSpacing/>
        <w:jc w:val="both"/>
        <w:rPr>
          <w:sz w:val="22"/>
          <w:szCs w:val="22"/>
          <w:lang w:val="lv-LV"/>
        </w:rPr>
      </w:pPr>
      <w:r w:rsidRPr="00973A99">
        <w:rPr>
          <w:sz w:val="22"/>
          <w:szCs w:val="22"/>
          <w:lang w:val="lv-LV"/>
        </w:rPr>
        <w:t>Pretendentam jāparedz izmaksas par visiem nepieciešamajiem saskaņojumiem, atļaujām un to nosacījumu izpildi Darbu uzsākšanai un Darbu pabeigšanai.</w:t>
      </w:r>
    </w:p>
    <w:p w14:paraId="6CE46239" w14:textId="77777777" w:rsidR="00923F67" w:rsidRPr="00973A99" w:rsidRDefault="00923F67" w:rsidP="00923F67">
      <w:pPr>
        <w:numPr>
          <w:ilvl w:val="1"/>
          <w:numId w:val="1"/>
        </w:numPr>
        <w:contextualSpacing/>
        <w:jc w:val="both"/>
        <w:rPr>
          <w:sz w:val="22"/>
          <w:szCs w:val="22"/>
          <w:lang w:val="lv-LV"/>
        </w:rPr>
      </w:pPr>
      <w:r w:rsidRPr="00973A99">
        <w:rPr>
          <w:sz w:val="22"/>
          <w:szCs w:val="22"/>
          <w:lang w:val="lv-LV"/>
        </w:rPr>
        <w:t>Pretendents atbild par darba aizsardzības, ugunsdrošības prasību ievērošanu un dabas aizsardzības pasākumu ievērošanu objektā, kā arī par pieguļošās teritorijas piegružošanu, kas smilts, būvgružu vai dubļu veidā tiek iznesti no objekta.</w:t>
      </w:r>
    </w:p>
    <w:p w14:paraId="10991D0C" w14:textId="77777777" w:rsidR="00923F67" w:rsidRPr="00973A99" w:rsidRDefault="00923F67" w:rsidP="00923F67">
      <w:pPr>
        <w:numPr>
          <w:ilvl w:val="1"/>
          <w:numId w:val="1"/>
        </w:numPr>
        <w:contextualSpacing/>
        <w:jc w:val="both"/>
        <w:rPr>
          <w:sz w:val="22"/>
          <w:szCs w:val="22"/>
          <w:lang w:val="lv-LV"/>
        </w:rPr>
      </w:pPr>
      <w:r w:rsidRPr="00973A99">
        <w:rPr>
          <w:sz w:val="22"/>
          <w:szCs w:val="22"/>
          <w:lang w:val="lv-LV"/>
        </w:rPr>
        <w:t>Pretendentam, iesniedzot piedāvājumu, jāizvērtē izmaksas, kas saistītas ar visu nepieciešamo atļauju, izpildshēmu, apliecinājumu un citu normatīvajos aktos paredzēto dokumentāciju kopumu sagatavošanu un iesniegšanu attiecīgajās valsts vai pašvaldības institūcijās (arī to dokumentāciju sagatavošana un atļauju saņemšana, ko normatīvie akti nosaka Pasūtītājam, par to saņemot attiecīgo pilnvarojumu no Pasūtītāja).</w:t>
      </w:r>
    </w:p>
    <w:p w14:paraId="5CFBFE0B" w14:textId="77777777" w:rsidR="00923F67" w:rsidRPr="00973A99" w:rsidRDefault="00923F67" w:rsidP="00923F67">
      <w:pPr>
        <w:numPr>
          <w:ilvl w:val="1"/>
          <w:numId w:val="1"/>
        </w:numPr>
        <w:contextualSpacing/>
        <w:jc w:val="both"/>
        <w:rPr>
          <w:sz w:val="22"/>
          <w:szCs w:val="22"/>
          <w:lang w:val="lv-LV"/>
        </w:rPr>
      </w:pPr>
      <w:r w:rsidRPr="00973A99">
        <w:rPr>
          <w:sz w:val="22"/>
          <w:szCs w:val="22"/>
          <w:lang w:val="lv-LV" w:eastAsia="en-GB"/>
        </w:rPr>
        <w:t>Pretendentam jāizvērtē, ka Apliecinājuma kartē norādīto darbu izpilde un izstrādājumu uzstādīšana ietver pilnu darba ciklu līdz attiecīgās detaļas, mezgla, izstrādājuma gatavībai pilnīgai ekspluatācijai, ietverot visus materiālus un izstrādājumus, kas tehnoloģiski nepieciešami attiecīgā būves elementa vai iekārtas drošai ekspluatācijai atbilstoši būvnormatīvu prasībām, ietverot visus nepieciešamos darbus konkrēta darba izpildei, kā arī jāņem vērā, ka izdevumi izpilddokumentācijas sagatavošanai un uzmērījumu veikšanai jāiekļauj piedāvātajā līgumcenā.</w:t>
      </w:r>
    </w:p>
    <w:p w14:paraId="4A4DDE09" w14:textId="77777777" w:rsidR="00923F67" w:rsidRPr="00973A99" w:rsidRDefault="00923F67" w:rsidP="00923F67">
      <w:pPr>
        <w:numPr>
          <w:ilvl w:val="1"/>
          <w:numId w:val="1"/>
        </w:numPr>
        <w:contextualSpacing/>
        <w:jc w:val="both"/>
        <w:rPr>
          <w:sz w:val="22"/>
          <w:szCs w:val="22"/>
          <w:lang w:val="lv-LV"/>
        </w:rPr>
      </w:pPr>
      <w:r w:rsidRPr="00973A99">
        <w:rPr>
          <w:sz w:val="22"/>
          <w:szCs w:val="22"/>
          <w:lang w:val="lv-LV"/>
        </w:rPr>
        <w:t>Lokālā Tāme jāsastāda atbilstoši Ministru kabineta 2017.gada 3.maija noteikumiem Nr.239 „Noteikumi par Latvijas būvnormatīvu LBN 501-17 „Būvizmaksu noteikšanas kārtība””, tajā jāievērtē visas Tehniskās specifikācijas un Tehniskās dokumentācijas prasības, tajā skaitā to realizācijai nepieciešamie resursi, iespējami nepieciešamo detalizēto tehnisko risinājumu izstrādāšana, darba rasējumu izstrāde, izpilddokumentācijas noformēšanas izmaksas, būvlaukuma ierīkošanas un uzturēšanas izmaksas, darba aizsardzības izmaksas, nodokļi un citas līguma pilnīgai un kvalitatīvai realizācijai nepieciešamās izmaksas.</w:t>
      </w:r>
    </w:p>
    <w:p w14:paraId="284BEAA5" w14:textId="77777777" w:rsidR="00923F67" w:rsidRPr="00973A99" w:rsidRDefault="00923F67" w:rsidP="00923F67">
      <w:pPr>
        <w:numPr>
          <w:ilvl w:val="1"/>
          <w:numId w:val="1"/>
        </w:numPr>
        <w:tabs>
          <w:tab w:val="left" w:pos="851"/>
        </w:tabs>
        <w:contextualSpacing/>
        <w:jc w:val="both"/>
        <w:rPr>
          <w:sz w:val="22"/>
          <w:szCs w:val="22"/>
          <w:lang w:val="lv-LV"/>
        </w:rPr>
      </w:pPr>
      <w:r w:rsidRPr="00973A99">
        <w:rPr>
          <w:sz w:val="22"/>
          <w:szCs w:val="22"/>
          <w:lang w:val="lv-LV"/>
        </w:rPr>
        <w:t xml:space="preserve">Izstrādājot Lokālo tāmi, jāizceno visas tajās iekļautās pozīcijas un apjomus. Nav pieļaujama jaunu pozīciju un apjomu iekļaušana, kā arī esošo ignorēšana vai mainīšana. </w:t>
      </w:r>
    </w:p>
    <w:p w14:paraId="03757A96" w14:textId="77777777" w:rsidR="00923F67" w:rsidRPr="00973A99" w:rsidRDefault="00923F67" w:rsidP="00923F67">
      <w:pPr>
        <w:numPr>
          <w:ilvl w:val="1"/>
          <w:numId w:val="1"/>
        </w:numPr>
        <w:tabs>
          <w:tab w:val="left" w:pos="851"/>
        </w:tabs>
        <w:contextualSpacing/>
        <w:jc w:val="both"/>
        <w:rPr>
          <w:sz w:val="22"/>
          <w:szCs w:val="22"/>
          <w:lang w:val="lv-LV"/>
        </w:rPr>
      </w:pPr>
      <w:r w:rsidRPr="00973A99">
        <w:rPr>
          <w:sz w:val="22"/>
          <w:szCs w:val="22"/>
          <w:lang w:val="lv-LV"/>
        </w:rPr>
        <w:t xml:space="preserve">Pretendentam piedāvātajā līgumcenā jāiekļauj izmaksas par informatīvā plakāta izgatavošanu. </w:t>
      </w:r>
    </w:p>
    <w:p w14:paraId="4CEC7A46" w14:textId="77777777" w:rsidR="00923F67" w:rsidRPr="00973A99" w:rsidRDefault="00923F67" w:rsidP="00923F67">
      <w:pPr>
        <w:numPr>
          <w:ilvl w:val="1"/>
          <w:numId w:val="1"/>
        </w:numPr>
        <w:tabs>
          <w:tab w:val="num" w:pos="851"/>
        </w:tabs>
        <w:contextualSpacing/>
        <w:jc w:val="both"/>
        <w:rPr>
          <w:sz w:val="22"/>
          <w:szCs w:val="22"/>
          <w:lang w:val="lv-LV"/>
        </w:rPr>
      </w:pPr>
      <w:r w:rsidRPr="00973A99">
        <w:rPr>
          <w:bCs/>
          <w:sz w:val="22"/>
          <w:szCs w:val="22"/>
          <w:lang w:val="lv-LV"/>
        </w:rPr>
        <w:t xml:space="preserve">Sagatavojot piedāvājumu, Pretendentam jāparedz būvgružu un liekās grunts transportēšanu uz Pretendenta norādītu atbērtni. </w:t>
      </w:r>
    </w:p>
    <w:p w14:paraId="271BA899" w14:textId="77777777" w:rsidR="00923F67" w:rsidRPr="00973A99" w:rsidRDefault="00923F67" w:rsidP="00923F67">
      <w:pPr>
        <w:numPr>
          <w:ilvl w:val="1"/>
          <w:numId w:val="1"/>
        </w:numPr>
        <w:tabs>
          <w:tab w:val="num" w:pos="851"/>
        </w:tabs>
        <w:contextualSpacing/>
        <w:jc w:val="both"/>
        <w:rPr>
          <w:b/>
          <w:sz w:val="22"/>
          <w:szCs w:val="22"/>
          <w:u w:val="single"/>
          <w:lang w:val="lv-LV"/>
        </w:rPr>
      </w:pPr>
      <w:r w:rsidRPr="00973A99">
        <w:rPr>
          <w:b/>
          <w:bCs/>
          <w:sz w:val="22"/>
          <w:szCs w:val="22"/>
          <w:u w:val="single"/>
          <w:lang w:val="lv-LV"/>
        </w:rPr>
        <w:t xml:space="preserve">Pretendentam kopā ar tehnisko piedāvājumu jāiesniedz Darbu veikšanas kalendārais grafiks, norādot Darbu veikšanas laiku pa nedēļām. </w:t>
      </w:r>
    </w:p>
    <w:p w14:paraId="6B1FAEE6" w14:textId="77777777" w:rsidR="00973A99" w:rsidRPr="00973A99" w:rsidRDefault="00973A99" w:rsidP="00973A99">
      <w:pPr>
        <w:ind w:left="792"/>
        <w:contextualSpacing/>
        <w:jc w:val="both"/>
        <w:rPr>
          <w:b/>
          <w:sz w:val="22"/>
          <w:szCs w:val="22"/>
          <w:u w:val="single"/>
          <w:lang w:val="lv-LV"/>
        </w:rPr>
      </w:pPr>
    </w:p>
    <w:p w14:paraId="3985AC09" w14:textId="77777777" w:rsidR="00923F67" w:rsidRPr="00973A99" w:rsidRDefault="00923F67" w:rsidP="00923F67">
      <w:pPr>
        <w:rPr>
          <w:b/>
          <w:sz w:val="22"/>
          <w:szCs w:val="22"/>
          <w:lang w:val="lv-LV"/>
        </w:rPr>
      </w:pPr>
    </w:p>
    <w:p w14:paraId="5825A01F" w14:textId="77777777" w:rsidR="00923F67" w:rsidRPr="00973A99" w:rsidRDefault="00923F67" w:rsidP="00923F67">
      <w:pPr>
        <w:numPr>
          <w:ilvl w:val="0"/>
          <w:numId w:val="1"/>
        </w:numPr>
        <w:contextualSpacing/>
        <w:jc w:val="both"/>
        <w:rPr>
          <w:b/>
          <w:sz w:val="24"/>
          <w:szCs w:val="24"/>
          <w:lang w:val="lv-LV"/>
        </w:rPr>
      </w:pPr>
      <w:r w:rsidRPr="00973A99">
        <w:rPr>
          <w:b/>
          <w:sz w:val="24"/>
          <w:szCs w:val="24"/>
          <w:lang w:val="lv-LV"/>
        </w:rPr>
        <w:lastRenderedPageBreak/>
        <w:t>Darbu uzsākšanas noteikumi, Darbu veikšana, Darbu pārbaudes un pieņemšanas noteikumi:</w:t>
      </w:r>
    </w:p>
    <w:p w14:paraId="367CB0B6" w14:textId="77777777" w:rsidR="00923F67" w:rsidRPr="00973A99" w:rsidRDefault="00923F67" w:rsidP="00923F67">
      <w:pPr>
        <w:widowControl/>
        <w:numPr>
          <w:ilvl w:val="1"/>
          <w:numId w:val="1"/>
        </w:numPr>
        <w:overflowPunct/>
        <w:autoSpaceDE/>
        <w:adjustRightInd/>
        <w:contextualSpacing/>
        <w:jc w:val="both"/>
        <w:rPr>
          <w:sz w:val="22"/>
          <w:szCs w:val="22"/>
          <w:lang w:val="lv-LV"/>
        </w:rPr>
      </w:pPr>
      <w:r w:rsidRPr="00973A99">
        <w:rPr>
          <w:sz w:val="22"/>
          <w:szCs w:val="22"/>
          <w:lang w:val="lv-LV"/>
        </w:rPr>
        <w:t>Par darba drošības tehniku un darba aizsardzību būvlaukumā ir atbildīgs Izpildītājs. Pirms Darbu uzsākšanas jāizstrādā Darba aizsardzības plāns saskaņā ar 2003.gada 25. februāra Ministru kabineta noteikumiem Nr.92 „Darba aizsardzības prasības, veicot Darbus”. Izpildītājam jāsaņem visas darbu veikšanai nepieciešamās atļaujas.</w:t>
      </w:r>
    </w:p>
    <w:p w14:paraId="6893FBB9" w14:textId="77777777" w:rsidR="00923F67" w:rsidRPr="00973A99" w:rsidRDefault="00923F67" w:rsidP="00923F67">
      <w:pPr>
        <w:pStyle w:val="ListParagraph"/>
        <w:numPr>
          <w:ilvl w:val="1"/>
          <w:numId w:val="1"/>
        </w:numPr>
        <w:tabs>
          <w:tab w:val="left" w:pos="426"/>
        </w:tabs>
        <w:jc w:val="both"/>
        <w:rPr>
          <w:sz w:val="22"/>
          <w:szCs w:val="22"/>
        </w:rPr>
      </w:pPr>
      <w:r w:rsidRPr="00973A99">
        <w:rPr>
          <w:sz w:val="22"/>
          <w:szCs w:val="22"/>
        </w:rPr>
        <w:t xml:space="preserve">Izpildītājam jāiesniedz apdrošinātāja izsniegta būvuzņēmēja civiltiesiskās atbildības obligātās apdrošināšanas polise, jāiesniedz būvspeciālistu profesionālās civiltiesiskās atbildības apdrošināšana. </w:t>
      </w:r>
    </w:p>
    <w:p w14:paraId="102CDE99" w14:textId="77777777" w:rsidR="00923F67" w:rsidRPr="00973A99" w:rsidRDefault="00923F67" w:rsidP="00923F67">
      <w:pPr>
        <w:pStyle w:val="ListParagraph"/>
        <w:numPr>
          <w:ilvl w:val="1"/>
          <w:numId w:val="1"/>
        </w:numPr>
        <w:tabs>
          <w:tab w:val="left" w:pos="426"/>
        </w:tabs>
        <w:jc w:val="both"/>
        <w:rPr>
          <w:sz w:val="22"/>
          <w:szCs w:val="22"/>
        </w:rPr>
      </w:pPr>
      <w:r w:rsidRPr="00973A99">
        <w:rPr>
          <w:sz w:val="22"/>
          <w:szCs w:val="22"/>
        </w:rPr>
        <w:t xml:space="preserve">Pirms Darbu uzsākšanas Izpildītājs iesniedz Pasūtītājam fotofiksācijas materiālus, kuros pēc iespējas pilnīgāk fiksēts objekta tehniskais stāvoklis pirms būvniecības. Visa veida bojājumi, kādi tiek nodarīti saglabājamā labiekārtojuma (apstādījumu) platībām, ir jānovērš Izpildītājam par saviem līdzekļiem līdz Darbu nodošanas - pieņemšanas akta parakstīšanai. Sagatavotos fotofiksācijas materiālus pievieno Būvobjekta nodošanas - pieņemšanas aktam, ko sagatavo Pasūtītājs. </w:t>
      </w:r>
    </w:p>
    <w:p w14:paraId="246446C3" w14:textId="77777777" w:rsidR="00923F67" w:rsidRPr="00973A99" w:rsidRDefault="00923F67" w:rsidP="00923F67">
      <w:pPr>
        <w:numPr>
          <w:ilvl w:val="1"/>
          <w:numId w:val="1"/>
        </w:numPr>
        <w:contextualSpacing/>
        <w:jc w:val="both"/>
        <w:rPr>
          <w:b/>
          <w:sz w:val="22"/>
          <w:szCs w:val="22"/>
          <w:lang w:val="lv-LV"/>
        </w:rPr>
      </w:pPr>
      <w:r w:rsidRPr="00973A99">
        <w:rPr>
          <w:sz w:val="22"/>
          <w:szCs w:val="22"/>
          <w:lang w:val="lv-LV"/>
        </w:rPr>
        <w:t xml:space="preserve">Pirms Darbu uzsākšanas, Izpildītājam par saviem līdzekļiem jāuzstāda 1 (viens) pagaidu informatīvais stends </w:t>
      </w:r>
      <w:r w:rsidRPr="00973A99">
        <w:rPr>
          <w:bCs/>
          <w:sz w:val="22"/>
          <w:szCs w:val="22"/>
          <w:lang w:val="lv-LV"/>
        </w:rPr>
        <w:t>(297x420 mm)</w:t>
      </w:r>
      <w:r w:rsidRPr="00973A99">
        <w:rPr>
          <w:sz w:val="22"/>
          <w:szCs w:val="22"/>
          <w:lang w:val="lv-LV"/>
        </w:rPr>
        <w:t xml:space="preserve">, atbilstoši 2014-2020 gada plānošanas perioda publicitātes vadlīnijām, saskaņojot to izmērus, informāciju un atrašanās vietu ar Pasūtītāju. </w:t>
      </w:r>
    </w:p>
    <w:p w14:paraId="35FB5CA4" w14:textId="77777777" w:rsidR="00923F67" w:rsidRPr="00973A99" w:rsidRDefault="00923F67" w:rsidP="00923F67">
      <w:pPr>
        <w:numPr>
          <w:ilvl w:val="1"/>
          <w:numId w:val="1"/>
        </w:numPr>
        <w:contextualSpacing/>
        <w:jc w:val="both"/>
        <w:rPr>
          <w:bCs/>
          <w:sz w:val="22"/>
          <w:szCs w:val="22"/>
          <w:lang w:val="lv-LV"/>
        </w:rPr>
      </w:pPr>
      <w:r w:rsidRPr="00973A99">
        <w:rPr>
          <w:bCs/>
          <w:sz w:val="22"/>
          <w:szCs w:val="22"/>
          <w:lang w:val="lv-LV"/>
        </w:rPr>
        <w:t xml:space="preserve">Pēc Darbu pabeigšanas, Izpildītājam par saviem līdzekļiem jāuzstāda 1 (viens) informatīvais stends (297x420 mm), atbilstoši 2014-2020 gada plānošanas perioda publicitātes vadlīnijām, saskaņojot to izmērus, informāciju un atrašanās vietu ar Pasūtītāju. </w:t>
      </w:r>
    </w:p>
    <w:p w14:paraId="071DC318" w14:textId="77777777" w:rsidR="00923F67" w:rsidRPr="00973A99" w:rsidRDefault="00923F67" w:rsidP="00923F67">
      <w:pPr>
        <w:numPr>
          <w:ilvl w:val="1"/>
          <w:numId w:val="1"/>
        </w:numPr>
        <w:contextualSpacing/>
        <w:jc w:val="both"/>
        <w:rPr>
          <w:b/>
          <w:sz w:val="22"/>
          <w:szCs w:val="22"/>
          <w:lang w:val="lv-LV"/>
        </w:rPr>
      </w:pPr>
      <w:r w:rsidRPr="00973A99">
        <w:rPr>
          <w:bCs/>
          <w:sz w:val="22"/>
          <w:szCs w:val="22"/>
          <w:lang w:val="lv-LV"/>
        </w:rPr>
        <w:t>Darbu gaitā radušos jautājumus Izpildītājs saskaņo ar Pasūtītāja pārstāvi.</w:t>
      </w:r>
    </w:p>
    <w:p w14:paraId="1BD21616" w14:textId="77777777" w:rsidR="00923F67" w:rsidRPr="00973A99" w:rsidRDefault="00923F67" w:rsidP="00923F67">
      <w:pPr>
        <w:numPr>
          <w:ilvl w:val="1"/>
          <w:numId w:val="1"/>
        </w:numPr>
        <w:contextualSpacing/>
        <w:jc w:val="both"/>
        <w:rPr>
          <w:b/>
          <w:sz w:val="22"/>
          <w:szCs w:val="22"/>
          <w:lang w:val="lv-LV"/>
        </w:rPr>
      </w:pPr>
      <w:r w:rsidRPr="00973A99">
        <w:rPr>
          <w:sz w:val="22"/>
          <w:szCs w:val="22"/>
          <w:lang w:val="lv-LV"/>
        </w:rPr>
        <w:t>Visiem Darbos pielietojamiem materiāliem ir jābūt sertificētiem normatīvajos aktos noteiktajā kārtībā un ar Latvijas Republikas spēkā esošiem normatīvajiem aktiem atbilstošiem kvalitātes rādītājiem. Materiālu atbilstība jāpierāda ar materiālu un konstrukciju ražotāju deklarācijām, sertifikātiem vai testēšanas pārskatiem. Darbos jāizmanto Latvijas Republikas būvnormatīviem atbilstoši materiāli, iekārtas un izstrādājumi. Darbus izpildīt ievērojot Latvijas nacionālos un starptautiskos standartus.</w:t>
      </w:r>
    </w:p>
    <w:p w14:paraId="65A5FD77" w14:textId="77777777" w:rsidR="00923F67" w:rsidRPr="00973A99" w:rsidRDefault="00923F67" w:rsidP="00923F67">
      <w:pPr>
        <w:numPr>
          <w:ilvl w:val="1"/>
          <w:numId w:val="1"/>
        </w:numPr>
        <w:tabs>
          <w:tab w:val="left" w:pos="851"/>
        </w:tabs>
        <w:contextualSpacing/>
        <w:jc w:val="both"/>
        <w:rPr>
          <w:b/>
          <w:sz w:val="22"/>
          <w:szCs w:val="22"/>
          <w:lang w:val="lv-LV"/>
        </w:rPr>
      </w:pPr>
      <w:r w:rsidRPr="00973A99">
        <w:rPr>
          <w:sz w:val="22"/>
          <w:szCs w:val="22"/>
          <w:lang w:val="lv-LV"/>
        </w:rPr>
        <w:t xml:space="preserve"> Materiālu montāžu veikt saskaņā ar materiālu izgatavotāja instrukcijām. Ja instrukcija nav latviešu valodā, tad Izpildītājam jānodrošina tulkojums latviešu valodā.</w:t>
      </w:r>
    </w:p>
    <w:p w14:paraId="2BF9B644" w14:textId="77777777" w:rsidR="00923F67" w:rsidRPr="00973A99" w:rsidRDefault="00923F67" w:rsidP="00923F67">
      <w:pPr>
        <w:numPr>
          <w:ilvl w:val="1"/>
          <w:numId w:val="1"/>
        </w:numPr>
        <w:tabs>
          <w:tab w:val="left" w:pos="851"/>
        </w:tabs>
        <w:contextualSpacing/>
        <w:jc w:val="both"/>
        <w:rPr>
          <w:b/>
          <w:sz w:val="22"/>
          <w:szCs w:val="22"/>
          <w:lang w:val="lv-LV"/>
        </w:rPr>
      </w:pPr>
      <w:r w:rsidRPr="00973A99">
        <w:rPr>
          <w:sz w:val="22"/>
          <w:szCs w:val="22"/>
          <w:lang w:val="lv-LV"/>
        </w:rPr>
        <w:t xml:space="preserve"> Darbi Izpildītājam jāveic ar saviem materiāliem (būvmateriāliem, būviekārtām un būvizstrādājumiem), nepieciešamās kvalifikācijas darbiniekiem un tehniskajiem līdzekļiem (ierīcēm, iekārtām, mehānismiem, instrumentiem un transportlīdzekļiem) u.c. resursiem.</w:t>
      </w:r>
    </w:p>
    <w:p w14:paraId="25D22818" w14:textId="59A37CC3" w:rsidR="00923F67" w:rsidRPr="00973A99" w:rsidRDefault="00923F67" w:rsidP="00923F67">
      <w:pPr>
        <w:numPr>
          <w:ilvl w:val="1"/>
          <w:numId w:val="1"/>
        </w:numPr>
        <w:tabs>
          <w:tab w:val="left" w:pos="851"/>
        </w:tabs>
        <w:contextualSpacing/>
        <w:jc w:val="both"/>
        <w:rPr>
          <w:b/>
          <w:sz w:val="22"/>
          <w:szCs w:val="22"/>
          <w:lang w:val="lv-LV"/>
        </w:rPr>
      </w:pPr>
      <w:r w:rsidRPr="00973A99">
        <w:rPr>
          <w:sz w:val="22"/>
          <w:szCs w:val="22"/>
          <w:lang w:val="lv-LV"/>
        </w:rPr>
        <w:t xml:space="preserve"> Pasūtītājam ir tiesības veikt izmaiņas Apliecinājuma kartē un mainīt veicamo darbu apjomus, piemēram, samazināt darba apjomus, pamatojoties uz izpildmērījumu datiem</w:t>
      </w:r>
      <w:r w:rsidRPr="00973A99">
        <w:rPr>
          <w:i/>
          <w:sz w:val="22"/>
          <w:szCs w:val="22"/>
          <w:lang w:val="lv-LV"/>
        </w:rPr>
        <w:t xml:space="preserve">. </w:t>
      </w:r>
      <w:r w:rsidR="00E45F81">
        <w:rPr>
          <w:sz w:val="22"/>
          <w:szCs w:val="22"/>
          <w:lang w:val="lv-LV"/>
        </w:rPr>
        <w:t>Izpildītājam</w:t>
      </w:r>
      <w:r w:rsidRPr="00973A99">
        <w:rPr>
          <w:sz w:val="22"/>
          <w:szCs w:val="22"/>
          <w:lang w:val="lv-LV"/>
        </w:rPr>
        <w:t xml:space="preserve"> jāievērtē Darbu apjomu un izmaksu aprēķina tabulā minēto darbu veikšanai nepieciešamie materiāli un papildus darbi, kas nav minēti šajos sarakstos, bet bez kuriem nebūtu iespējama Darbu tehnoloģiski pareiza un spēkā esošiem normatīviem atbilstoša veikšana pilnā apjomā. </w:t>
      </w:r>
    </w:p>
    <w:p w14:paraId="0A58EEF3" w14:textId="77777777" w:rsidR="00923F67" w:rsidRPr="00973A99" w:rsidRDefault="00923F67" w:rsidP="00923F67">
      <w:pPr>
        <w:numPr>
          <w:ilvl w:val="1"/>
          <w:numId w:val="1"/>
        </w:numPr>
        <w:tabs>
          <w:tab w:val="left" w:pos="851"/>
        </w:tabs>
        <w:contextualSpacing/>
        <w:jc w:val="both"/>
        <w:rPr>
          <w:b/>
          <w:sz w:val="22"/>
          <w:szCs w:val="22"/>
          <w:lang w:val="lv-LV"/>
        </w:rPr>
      </w:pPr>
      <w:r w:rsidRPr="00973A99">
        <w:rPr>
          <w:sz w:val="22"/>
          <w:szCs w:val="22"/>
          <w:lang w:val="lv-LV"/>
        </w:rPr>
        <w:t xml:space="preserve"> Visiem materiāliem, iekārtām un mehānismiem, kas atrodas vai strādā objektā, ir jābūt Latvijas Republikas normatīvajos aktos noteiktajiem sertifikātiem un atļaujām.</w:t>
      </w:r>
    </w:p>
    <w:p w14:paraId="10D385AB" w14:textId="77777777" w:rsidR="00923F67" w:rsidRPr="00973A99" w:rsidRDefault="00923F67" w:rsidP="00923F67">
      <w:pPr>
        <w:numPr>
          <w:ilvl w:val="1"/>
          <w:numId w:val="1"/>
        </w:numPr>
        <w:tabs>
          <w:tab w:val="left" w:pos="851"/>
        </w:tabs>
        <w:contextualSpacing/>
        <w:jc w:val="both"/>
        <w:rPr>
          <w:b/>
          <w:sz w:val="22"/>
          <w:szCs w:val="22"/>
          <w:lang w:val="lv-LV"/>
        </w:rPr>
      </w:pPr>
      <w:r w:rsidRPr="00973A99">
        <w:rPr>
          <w:sz w:val="22"/>
          <w:szCs w:val="22"/>
          <w:lang w:val="lv-LV"/>
        </w:rPr>
        <w:t xml:space="preserve"> Garantija izpildītajiem Darbiem un materiāliem ir 60 (sešdesmit) mēneši no Darbu nodošanas-pieņemšanas akta parakstīšanas dienas.</w:t>
      </w:r>
    </w:p>
    <w:p w14:paraId="1DBBBD1A" w14:textId="77777777" w:rsidR="00923F67" w:rsidRPr="00973A99" w:rsidRDefault="00923F67" w:rsidP="00923F67">
      <w:pPr>
        <w:numPr>
          <w:ilvl w:val="1"/>
          <w:numId w:val="1"/>
        </w:numPr>
        <w:tabs>
          <w:tab w:val="left" w:pos="851"/>
        </w:tabs>
        <w:contextualSpacing/>
        <w:jc w:val="both"/>
        <w:rPr>
          <w:b/>
          <w:sz w:val="22"/>
          <w:szCs w:val="22"/>
          <w:lang w:val="lv-LV"/>
        </w:rPr>
      </w:pPr>
      <w:r w:rsidRPr="00973A99">
        <w:rPr>
          <w:sz w:val="22"/>
          <w:szCs w:val="22"/>
          <w:lang w:val="lv-LV"/>
        </w:rPr>
        <w:t>Nepamatoti darba pārtraukumi tiek pielīdzināti līguma darbu termiņu kavējumiem. Izpildītāja pienākums ir pamatot katru dīkstāves dienu.</w:t>
      </w:r>
    </w:p>
    <w:p w14:paraId="465248F7" w14:textId="77777777" w:rsidR="00923F67" w:rsidRPr="00973A99" w:rsidRDefault="00923F67" w:rsidP="00923F67">
      <w:pPr>
        <w:numPr>
          <w:ilvl w:val="1"/>
          <w:numId w:val="1"/>
        </w:numPr>
        <w:tabs>
          <w:tab w:val="left" w:pos="851"/>
        </w:tabs>
        <w:contextualSpacing/>
        <w:jc w:val="both"/>
        <w:rPr>
          <w:b/>
          <w:sz w:val="22"/>
          <w:szCs w:val="22"/>
          <w:lang w:val="lv-LV"/>
        </w:rPr>
      </w:pPr>
      <w:r w:rsidRPr="00973A99">
        <w:rPr>
          <w:sz w:val="22"/>
          <w:szCs w:val="22"/>
          <w:lang w:val="lv-LV"/>
        </w:rPr>
        <w:t>Atbildīgajam Darbu vadītājam objektā jābūt katru darba dienu un ne mazāk kā       32 (trīsdesmit divas) stundas nedēļā. Darbu vadītājam jānodrošina pilna atbildība objektā.</w:t>
      </w:r>
    </w:p>
    <w:p w14:paraId="5DC60040" w14:textId="77777777" w:rsidR="00923F67" w:rsidRPr="00973A99" w:rsidRDefault="00923F67" w:rsidP="00923F67">
      <w:pPr>
        <w:numPr>
          <w:ilvl w:val="1"/>
          <w:numId w:val="1"/>
        </w:numPr>
        <w:tabs>
          <w:tab w:val="left" w:pos="851"/>
        </w:tabs>
        <w:contextualSpacing/>
        <w:jc w:val="both"/>
        <w:rPr>
          <w:b/>
          <w:sz w:val="22"/>
          <w:szCs w:val="22"/>
          <w:lang w:val="lv-LV"/>
        </w:rPr>
      </w:pPr>
      <w:r w:rsidRPr="00973A99">
        <w:rPr>
          <w:sz w:val="22"/>
          <w:szCs w:val="22"/>
          <w:lang w:val="lv-LV"/>
        </w:rPr>
        <w:t xml:space="preserve"> Līguma darbības laikā būvsapulcēs obligāti jāpiedalās atbildīgajam Darbu vadītājam. Pēc Pasūtītāja pieprasījuma būvsapulcēs jāpiedalās arī citiem iesaistītajiem speciālistiem no Pretendenta puses. Par laiku un vietu Puses vienosies pirmajā būvsapulcē. </w:t>
      </w:r>
    </w:p>
    <w:p w14:paraId="10046CE5" w14:textId="77777777" w:rsidR="00923F67" w:rsidRPr="00973A99" w:rsidRDefault="00923F67" w:rsidP="00923F67">
      <w:pPr>
        <w:numPr>
          <w:ilvl w:val="1"/>
          <w:numId w:val="1"/>
        </w:numPr>
        <w:tabs>
          <w:tab w:val="left" w:pos="851"/>
        </w:tabs>
        <w:contextualSpacing/>
        <w:jc w:val="both"/>
        <w:rPr>
          <w:b/>
          <w:sz w:val="22"/>
          <w:szCs w:val="22"/>
          <w:lang w:val="lv-LV"/>
        </w:rPr>
      </w:pPr>
      <w:r w:rsidRPr="00973A99">
        <w:rPr>
          <w:sz w:val="22"/>
          <w:szCs w:val="22"/>
          <w:lang w:val="lv-LV"/>
        </w:rPr>
        <w:t xml:space="preserve"> Būvsapulču darba valoda - latviešu.</w:t>
      </w:r>
    </w:p>
    <w:p w14:paraId="14D25846" w14:textId="77777777" w:rsidR="00923F67" w:rsidRPr="00973A99" w:rsidRDefault="00923F67" w:rsidP="00923F67">
      <w:pPr>
        <w:numPr>
          <w:ilvl w:val="1"/>
          <w:numId w:val="1"/>
        </w:numPr>
        <w:tabs>
          <w:tab w:val="left" w:pos="851"/>
        </w:tabs>
        <w:contextualSpacing/>
        <w:jc w:val="both"/>
        <w:rPr>
          <w:b/>
          <w:sz w:val="22"/>
          <w:szCs w:val="22"/>
          <w:lang w:val="lv-LV"/>
        </w:rPr>
      </w:pPr>
      <w:r w:rsidRPr="00973A99">
        <w:rPr>
          <w:sz w:val="22"/>
          <w:szCs w:val="22"/>
          <w:lang w:val="lv-LV"/>
        </w:rPr>
        <w:t xml:space="preserve"> Darbu izpildes laikā atbildīgajam Darbu vadītājam jāierodas objektā divu stundu laikā pēc Pasūtītāja vai būvuzrauga pieprasījuma.</w:t>
      </w:r>
    </w:p>
    <w:p w14:paraId="6491290E" w14:textId="77777777" w:rsidR="00923F67" w:rsidRPr="00973A99" w:rsidRDefault="00923F67" w:rsidP="00923F67">
      <w:pPr>
        <w:numPr>
          <w:ilvl w:val="1"/>
          <w:numId w:val="1"/>
        </w:numPr>
        <w:tabs>
          <w:tab w:val="left" w:pos="851"/>
        </w:tabs>
        <w:contextualSpacing/>
        <w:jc w:val="both"/>
        <w:rPr>
          <w:b/>
          <w:sz w:val="22"/>
          <w:szCs w:val="22"/>
          <w:lang w:val="lv-LV"/>
        </w:rPr>
      </w:pPr>
      <w:r w:rsidRPr="00973A99">
        <w:rPr>
          <w:sz w:val="22"/>
          <w:szCs w:val="22"/>
          <w:lang w:val="lv-LV"/>
        </w:rPr>
        <w:lastRenderedPageBreak/>
        <w:t xml:space="preserve">Izpildītāja pienākums ir paziņot Pasūtītāja būvuzraugam par segto darbu uzrādīšanu 2-3 darba dienas pirms konstrukciju aizsegšanas. </w:t>
      </w:r>
    </w:p>
    <w:p w14:paraId="2FE0DDB2" w14:textId="77777777" w:rsidR="00923F67" w:rsidRPr="00973A99" w:rsidRDefault="00923F67" w:rsidP="00923F67">
      <w:pPr>
        <w:numPr>
          <w:ilvl w:val="1"/>
          <w:numId w:val="1"/>
        </w:numPr>
        <w:tabs>
          <w:tab w:val="left" w:pos="851"/>
        </w:tabs>
        <w:contextualSpacing/>
        <w:jc w:val="both"/>
        <w:rPr>
          <w:b/>
          <w:sz w:val="22"/>
          <w:szCs w:val="22"/>
          <w:lang w:val="lv-LV"/>
        </w:rPr>
      </w:pPr>
      <w:r w:rsidRPr="00973A99">
        <w:rPr>
          <w:sz w:val="22"/>
          <w:szCs w:val="22"/>
          <w:lang w:val="lv-LV"/>
        </w:rPr>
        <w:t xml:space="preserve"> Izpildītājam ir pienākums regulāri aizpildīt Būvdarbu žurnālu elektroniskajā būvniecības informācijas sistēmā: </w:t>
      </w:r>
      <w:hyperlink r:id="rId5" w:history="1">
        <w:r w:rsidRPr="00973A99">
          <w:rPr>
            <w:rStyle w:val="Hyperlink"/>
            <w:sz w:val="22"/>
            <w:szCs w:val="22"/>
          </w:rPr>
          <w:t>https://bis.gov.lv/</w:t>
        </w:r>
      </w:hyperlink>
      <w:r w:rsidRPr="00973A99">
        <w:rPr>
          <w:sz w:val="22"/>
          <w:szCs w:val="22"/>
          <w:lang w:val="lv-LV"/>
        </w:rPr>
        <w:t xml:space="preserve"> </w:t>
      </w:r>
    </w:p>
    <w:p w14:paraId="60A5C6CF" w14:textId="77777777" w:rsidR="00923F67" w:rsidRPr="00973A99" w:rsidRDefault="00923F67" w:rsidP="00923F67">
      <w:pPr>
        <w:numPr>
          <w:ilvl w:val="1"/>
          <w:numId w:val="1"/>
        </w:numPr>
        <w:tabs>
          <w:tab w:val="left" w:pos="851"/>
        </w:tabs>
        <w:contextualSpacing/>
        <w:jc w:val="both"/>
        <w:rPr>
          <w:b/>
          <w:sz w:val="22"/>
          <w:szCs w:val="22"/>
          <w:lang w:val="lv-LV"/>
        </w:rPr>
      </w:pPr>
      <w:r w:rsidRPr="00973A99">
        <w:rPr>
          <w:sz w:val="22"/>
          <w:szCs w:val="22"/>
          <w:lang w:val="lv-LV"/>
        </w:rPr>
        <w:t xml:space="preserve"> Saglabāt esošās inženierkomunikācijas, tai skaitā ģeodēziskos punktus. Par komunikāciju bojājumiem nekavējoties ziņot atbildīgajām institūcijām un Pasūtītājam.</w:t>
      </w:r>
    </w:p>
    <w:p w14:paraId="52C8E889" w14:textId="77777777" w:rsidR="00923F67" w:rsidRPr="00973A99" w:rsidRDefault="00923F67" w:rsidP="00923F67">
      <w:pPr>
        <w:numPr>
          <w:ilvl w:val="1"/>
          <w:numId w:val="1"/>
        </w:numPr>
        <w:tabs>
          <w:tab w:val="left" w:pos="851"/>
        </w:tabs>
        <w:contextualSpacing/>
        <w:jc w:val="both"/>
        <w:rPr>
          <w:b/>
          <w:sz w:val="22"/>
          <w:szCs w:val="22"/>
          <w:lang w:val="lv-LV"/>
        </w:rPr>
      </w:pPr>
      <w:r w:rsidRPr="00973A99">
        <w:rPr>
          <w:sz w:val="22"/>
          <w:szCs w:val="22"/>
          <w:lang w:val="lv-LV"/>
        </w:rPr>
        <w:t xml:space="preserve"> Liekās grunts atbērtnes vieta jāsaskaņo ar Pasūtītāju. </w:t>
      </w:r>
    </w:p>
    <w:p w14:paraId="008DBAD9" w14:textId="77777777" w:rsidR="00923F67" w:rsidRPr="00973A99" w:rsidRDefault="00923F67" w:rsidP="00923F67">
      <w:pPr>
        <w:numPr>
          <w:ilvl w:val="1"/>
          <w:numId w:val="1"/>
        </w:numPr>
        <w:tabs>
          <w:tab w:val="left" w:pos="851"/>
        </w:tabs>
        <w:contextualSpacing/>
        <w:jc w:val="both"/>
        <w:rPr>
          <w:b/>
          <w:sz w:val="22"/>
          <w:szCs w:val="22"/>
          <w:lang w:val="lv-LV"/>
        </w:rPr>
      </w:pPr>
      <w:r w:rsidRPr="00973A99">
        <w:rPr>
          <w:sz w:val="22"/>
          <w:szCs w:val="22"/>
          <w:lang w:val="lv-LV"/>
        </w:rPr>
        <w:t xml:space="preserve"> Pēc Darbu pabeigšanas paredzēt liekās grunts transportēšanu uz Pasūtītāja atbērtni.</w:t>
      </w:r>
    </w:p>
    <w:p w14:paraId="5845B999" w14:textId="77777777" w:rsidR="00923F67" w:rsidRPr="00973A99" w:rsidRDefault="00923F67" w:rsidP="00923F67">
      <w:pPr>
        <w:numPr>
          <w:ilvl w:val="1"/>
          <w:numId w:val="1"/>
        </w:numPr>
        <w:tabs>
          <w:tab w:val="left" w:pos="851"/>
        </w:tabs>
        <w:contextualSpacing/>
        <w:jc w:val="both"/>
        <w:rPr>
          <w:b/>
          <w:sz w:val="22"/>
          <w:szCs w:val="22"/>
          <w:lang w:val="lv-LV"/>
        </w:rPr>
      </w:pPr>
      <w:r w:rsidRPr="00973A99">
        <w:rPr>
          <w:sz w:val="22"/>
          <w:szCs w:val="22"/>
          <w:lang w:val="lv-LV"/>
        </w:rPr>
        <w:t xml:space="preserve"> Darbu izpildes laikā uzturēt kārtībā darbu izpildes vietu, nepieciešamības gadījumā nodrošināt brīdinājuma zīmju izlikšanu, speciāla apgaismojuma uzstādīšanu un darbu izpildes vietas apsardzi.</w:t>
      </w:r>
    </w:p>
    <w:p w14:paraId="05EE0737" w14:textId="77777777" w:rsidR="00923F67" w:rsidRPr="00973A99" w:rsidRDefault="00923F67" w:rsidP="00923F67">
      <w:pPr>
        <w:numPr>
          <w:ilvl w:val="1"/>
          <w:numId w:val="1"/>
        </w:numPr>
        <w:tabs>
          <w:tab w:val="left" w:pos="851"/>
        </w:tabs>
        <w:contextualSpacing/>
        <w:jc w:val="both"/>
        <w:rPr>
          <w:b/>
          <w:sz w:val="22"/>
          <w:szCs w:val="22"/>
          <w:lang w:val="lv-LV"/>
        </w:rPr>
      </w:pPr>
      <w:r w:rsidRPr="00973A99">
        <w:rPr>
          <w:sz w:val="22"/>
          <w:szCs w:val="22"/>
          <w:lang w:val="lv-LV"/>
        </w:rPr>
        <w:t xml:space="preserve"> Objektā pastāvīgi nodrošināt kārtību un tīrību. Pēc pirmā aizrādījuma 4 (četru) h laikā jālikvidē pārkāpumi un trūkumi.</w:t>
      </w:r>
      <w:bookmarkStart w:id="2" w:name="_Hlk497998282"/>
    </w:p>
    <w:p w14:paraId="179785C0" w14:textId="77777777" w:rsidR="00923F67" w:rsidRPr="00973A99" w:rsidRDefault="00923F67" w:rsidP="00923F67">
      <w:pPr>
        <w:numPr>
          <w:ilvl w:val="1"/>
          <w:numId w:val="1"/>
        </w:numPr>
        <w:tabs>
          <w:tab w:val="left" w:pos="851"/>
        </w:tabs>
        <w:contextualSpacing/>
        <w:jc w:val="both"/>
        <w:rPr>
          <w:b/>
          <w:sz w:val="22"/>
          <w:szCs w:val="22"/>
          <w:lang w:val="lv-LV"/>
        </w:rPr>
      </w:pPr>
      <w:r w:rsidRPr="00973A99">
        <w:rPr>
          <w:sz w:val="22"/>
          <w:szCs w:val="22"/>
          <w:lang w:val="lv-LV"/>
        </w:rPr>
        <w:t xml:space="preserve"> Izpildītājs sagatavo visu nepieciešamo atļauju, izpildshēmu, apliecinājumu, atzinumu un citu normatīvajos aktos paredzēto dokumentāciju kopumu un iesniedz attiecīgajās valsts vai pašvaldības institūcijās (arī to dokumentāciju sagatavošana un atļauju saņemšana, ko normatīvie akti nosaka Pasūtītājam, par to saņemot attiecīgo pilnvarojumu no Pasūtītāja).</w:t>
      </w:r>
      <w:bookmarkEnd w:id="2"/>
    </w:p>
    <w:p w14:paraId="2AF2D624" w14:textId="77777777" w:rsidR="00923F67" w:rsidRPr="00973A99" w:rsidRDefault="00923F67" w:rsidP="00923F67">
      <w:pPr>
        <w:numPr>
          <w:ilvl w:val="1"/>
          <w:numId w:val="1"/>
        </w:numPr>
        <w:tabs>
          <w:tab w:val="left" w:pos="851"/>
        </w:tabs>
        <w:contextualSpacing/>
        <w:jc w:val="both"/>
        <w:rPr>
          <w:b/>
          <w:sz w:val="22"/>
          <w:szCs w:val="22"/>
          <w:lang w:val="lv-LV"/>
        </w:rPr>
      </w:pPr>
      <w:r w:rsidRPr="00973A99">
        <w:rPr>
          <w:sz w:val="22"/>
          <w:szCs w:val="22"/>
          <w:lang w:val="lv-LV"/>
        </w:rPr>
        <w:t xml:space="preserve">Līdz </w:t>
      </w:r>
      <w:r w:rsidR="00E1715F" w:rsidRPr="00973A99">
        <w:rPr>
          <w:sz w:val="22"/>
          <w:szCs w:val="22"/>
          <w:lang w:val="lv-LV"/>
        </w:rPr>
        <w:t xml:space="preserve">brīdim kad Kandavas novada būvvalde ir izsniegusi atzīmi par būvdarbu pabeigšanu </w:t>
      </w:r>
      <w:r w:rsidRPr="00973A99">
        <w:rPr>
          <w:sz w:val="22"/>
          <w:szCs w:val="22"/>
          <w:lang w:val="lv-LV"/>
        </w:rPr>
        <w:t>Izpildītājam jāiesniedz Pasūtītājam izpildmērījumi (izdrukātā veidā ar skaņojumiem un CD formātā (dgn vai dwg un pdf formātā).</w:t>
      </w:r>
    </w:p>
    <w:p w14:paraId="410DF02E" w14:textId="77777777" w:rsidR="00923F67" w:rsidRPr="00973A99" w:rsidRDefault="00923F67" w:rsidP="00923F67">
      <w:pPr>
        <w:numPr>
          <w:ilvl w:val="1"/>
          <w:numId w:val="1"/>
        </w:numPr>
        <w:tabs>
          <w:tab w:val="left" w:pos="851"/>
        </w:tabs>
        <w:contextualSpacing/>
        <w:jc w:val="both"/>
        <w:rPr>
          <w:b/>
          <w:sz w:val="22"/>
          <w:szCs w:val="22"/>
          <w:lang w:val="lv-LV"/>
        </w:rPr>
      </w:pPr>
      <w:r w:rsidRPr="00973A99">
        <w:rPr>
          <w:sz w:val="22"/>
          <w:szCs w:val="22"/>
          <w:lang w:val="lv-LV"/>
        </w:rPr>
        <w:t>Darbu organizāciju un izpildes termiņus paredzēt atbilstoši objekta darba specifikai.</w:t>
      </w:r>
    </w:p>
    <w:p w14:paraId="4EC3EB07" w14:textId="77777777" w:rsidR="00923F67" w:rsidRPr="00973A99" w:rsidRDefault="00923F67" w:rsidP="00923F67">
      <w:pPr>
        <w:numPr>
          <w:ilvl w:val="1"/>
          <w:numId w:val="1"/>
        </w:numPr>
        <w:tabs>
          <w:tab w:val="left" w:pos="851"/>
        </w:tabs>
        <w:contextualSpacing/>
        <w:jc w:val="both"/>
        <w:rPr>
          <w:b/>
          <w:sz w:val="22"/>
          <w:szCs w:val="22"/>
          <w:lang w:val="lv-LV"/>
        </w:rPr>
      </w:pPr>
      <w:r w:rsidRPr="00973A99">
        <w:rPr>
          <w:sz w:val="22"/>
          <w:szCs w:val="22"/>
          <w:lang w:val="lv-LV"/>
        </w:rPr>
        <w:t xml:space="preserve"> Pasūtītājs var pārbaudīt Darbu apjoma izpildi, kvalitāti un iesniegto norēķinu dokumentu atbilstību faktiski izpildīto Darbu apjomam un Lokālo tāmi, jebkurā laikā. Pārbaude nesamazina Līgumā paredzēto Izpildītāja atbildību. Darbi pārbaudes laikā netiek apturēti. Līguma izpildes termiņš sakarā ar veicamo pārbaudi nav pagarināms. Pārbaudes no Pasūtītāja puses bez īpaša pilnvarojuma var pieprasīt un veikt arī būvuzraugs.</w:t>
      </w:r>
    </w:p>
    <w:p w14:paraId="4D1C4EF9" w14:textId="77777777" w:rsidR="00923F67" w:rsidRPr="00973A99" w:rsidRDefault="00923F67" w:rsidP="00923F67">
      <w:pPr>
        <w:numPr>
          <w:ilvl w:val="1"/>
          <w:numId w:val="1"/>
        </w:numPr>
        <w:tabs>
          <w:tab w:val="left" w:pos="851"/>
        </w:tabs>
        <w:contextualSpacing/>
        <w:jc w:val="both"/>
        <w:rPr>
          <w:b/>
          <w:sz w:val="22"/>
          <w:szCs w:val="22"/>
          <w:lang w:val="lv-LV"/>
        </w:rPr>
      </w:pPr>
      <w:r w:rsidRPr="00973A99">
        <w:rPr>
          <w:sz w:val="22"/>
          <w:szCs w:val="22"/>
          <w:lang w:val="lv-LV"/>
        </w:rPr>
        <w:t xml:space="preserve"> Pārbaudes organizēšanai Pasūtītājs no Izpildītāja var prasīt un Izpildītājs nodrošina:</w:t>
      </w:r>
    </w:p>
    <w:p w14:paraId="520E81B8" w14:textId="77777777" w:rsidR="00923F67" w:rsidRPr="00973A99" w:rsidRDefault="00923F67" w:rsidP="00923F67">
      <w:pPr>
        <w:widowControl/>
        <w:numPr>
          <w:ilvl w:val="2"/>
          <w:numId w:val="1"/>
        </w:numPr>
        <w:tabs>
          <w:tab w:val="num" w:pos="792"/>
        </w:tabs>
        <w:overflowPunct/>
        <w:autoSpaceDE/>
        <w:adjustRightInd/>
        <w:contextualSpacing/>
        <w:jc w:val="both"/>
        <w:rPr>
          <w:sz w:val="22"/>
          <w:szCs w:val="22"/>
          <w:lang w:val="lv-LV"/>
        </w:rPr>
      </w:pPr>
      <w:r w:rsidRPr="00973A99">
        <w:rPr>
          <w:sz w:val="22"/>
          <w:szCs w:val="22"/>
          <w:lang w:val="lv-LV"/>
        </w:rPr>
        <w:t>Savu pārstāvju piedalīšanos pārbaudē.</w:t>
      </w:r>
    </w:p>
    <w:p w14:paraId="119352D4" w14:textId="77777777" w:rsidR="00923F67" w:rsidRPr="00973A99" w:rsidRDefault="00923F67" w:rsidP="00923F67">
      <w:pPr>
        <w:widowControl/>
        <w:numPr>
          <w:ilvl w:val="2"/>
          <w:numId w:val="1"/>
        </w:numPr>
        <w:tabs>
          <w:tab w:val="num" w:pos="792"/>
        </w:tabs>
        <w:overflowPunct/>
        <w:autoSpaceDE/>
        <w:adjustRightInd/>
        <w:contextualSpacing/>
        <w:jc w:val="both"/>
        <w:rPr>
          <w:sz w:val="22"/>
          <w:szCs w:val="22"/>
          <w:lang w:val="lv-LV"/>
        </w:rPr>
      </w:pPr>
      <w:r w:rsidRPr="00973A99">
        <w:rPr>
          <w:sz w:val="22"/>
          <w:szCs w:val="22"/>
          <w:lang w:val="lv-LV"/>
        </w:rPr>
        <w:t>Nepieciešamo palīdzību no Izpildītāja puses.</w:t>
      </w:r>
    </w:p>
    <w:p w14:paraId="5BDD4078" w14:textId="77777777" w:rsidR="00923F67" w:rsidRPr="00973A99" w:rsidRDefault="00923F67" w:rsidP="00923F67">
      <w:pPr>
        <w:widowControl/>
        <w:numPr>
          <w:ilvl w:val="1"/>
          <w:numId w:val="1"/>
        </w:numPr>
        <w:tabs>
          <w:tab w:val="left" w:pos="851"/>
        </w:tabs>
        <w:overflowPunct/>
        <w:autoSpaceDE/>
        <w:adjustRightInd/>
        <w:contextualSpacing/>
        <w:jc w:val="both"/>
        <w:rPr>
          <w:sz w:val="22"/>
          <w:szCs w:val="22"/>
          <w:lang w:val="lv-LV"/>
        </w:rPr>
      </w:pPr>
      <w:r w:rsidRPr="00973A99">
        <w:rPr>
          <w:sz w:val="22"/>
          <w:szCs w:val="22"/>
          <w:lang w:val="lv-LV"/>
        </w:rPr>
        <w:t xml:space="preserve"> Pārbaudes rezultāti, </w:t>
      </w:r>
      <w:r w:rsidRPr="00973A99">
        <w:rPr>
          <w:caps/>
          <w:sz w:val="22"/>
          <w:szCs w:val="22"/>
          <w:lang w:val="lv-LV"/>
        </w:rPr>
        <w:t>norādot</w:t>
      </w:r>
      <w:r w:rsidRPr="00973A99">
        <w:rPr>
          <w:sz w:val="22"/>
          <w:szCs w:val="22"/>
          <w:lang w:val="lv-LV"/>
        </w:rPr>
        <w:t xml:space="preserve"> konstatētos defektus un/vai neatbilstības, tiek paziņoti Izpildītājam 3 (trīs) darba dienu laikā pēc pārbaudes pabeigšanas. Savi iebildumi par pārbaudes rezultātiem Izpildītājam jāpaziņo ne vēlāk kā 3 (trīs) darba dienu laikā no dienas, kad saņemti pārbaudes rezultāti. Ja minētajā termiņā Pasūtītājs nav saņēmis Izpildītāja iebildumus, uzskatāms, ka Izpildītājs ir piekritis pārbaudes rezultātiem.</w:t>
      </w:r>
    </w:p>
    <w:p w14:paraId="51FF10F0" w14:textId="77777777" w:rsidR="00923F67" w:rsidRPr="00973A99" w:rsidRDefault="00923F67" w:rsidP="00923F67">
      <w:pPr>
        <w:widowControl/>
        <w:numPr>
          <w:ilvl w:val="1"/>
          <w:numId w:val="1"/>
        </w:numPr>
        <w:tabs>
          <w:tab w:val="left" w:pos="851"/>
        </w:tabs>
        <w:overflowPunct/>
        <w:autoSpaceDE/>
        <w:adjustRightInd/>
        <w:contextualSpacing/>
        <w:jc w:val="both"/>
        <w:rPr>
          <w:sz w:val="22"/>
          <w:szCs w:val="22"/>
          <w:lang w:val="lv-LV"/>
        </w:rPr>
      </w:pPr>
      <w:r w:rsidRPr="00973A99">
        <w:rPr>
          <w:sz w:val="22"/>
          <w:szCs w:val="22"/>
          <w:lang w:val="lv-LV"/>
        </w:rPr>
        <w:t xml:space="preserve"> Ja Pasūtītājam vai kompetentai kontroles institūcijai pastāv aizdomas par kādu normatīvo aktu pārkāpumu Darbu izpildē, var veikt īpašas pārbaudes.</w:t>
      </w:r>
    </w:p>
    <w:p w14:paraId="41399CC2" w14:textId="77777777" w:rsidR="00923F67" w:rsidRPr="00973A99" w:rsidRDefault="00923F67" w:rsidP="00923F67">
      <w:pPr>
        <w:widowControl/>
        <w:numPr>
          <w:ilvl w:val="1"/>
          <w:numId w:val="1"/>
        </w:numPr>
        <w:tabs>
          <w:tab w:val="left" w:pos="851"/>
        </w:tabs>
        <w:overflowPunct/>
        <w:autoSpaceDE/>
        <w:adjustRightInd/>
        <w:contextualSpacing/>
        <w:jc w:val="both"/>
        <w:rPr>
          <w:sz w:val="22"/>
          <w:szCs w:val="22"/>
          <w:lang w:val="lv-LV"/>
        </w:rPr>
      </w:pPr>
      <w:r w:rsidRPr="00973A99">
        <w:rPr>
          <w:sz w:val="22"/>
          <w:szCs w:val="22"/>
          <w:lang w:val="lv-LV"/>
        </w:rPr>
        <w:t xml:space="preserve">Darbu izpildes laikā nodrošināt būvlaukuma sakopšanu katras darba dienas beigās, bet pēc darbu pabeigšanas, </w:t>
      </w:r>
      <w:r w:rsidR="00973A99" w:rsidRPr="00973A99">
        <w:rPr>
          <w:sz w:val="22"/>
          <w:szCs w:val="22"/>
          <w:lang w:val="lv-LV"/>
        </w:rPr>
        <w:t xml:space="preserve">tas ir </w:t>
      </w:r>
      <w:r w:rsidRPr="00973A99">
        <w:rPr>
          <w:sz w:val="22"/>
          <w:szCs w:val="22"/>
          <w:lang w:val="lv-LV"/>
        </w:rPr>
        <w:t xml:space="preserve">līdz </w:t>
      </w:r>
      <w:r w:rsidR="00973A99" w:rsidRPr="00973A99">
        <w:rPr>
          <w:sz w:val="22"/>
          <w:szCs w:val="22"/>
          <w:lang w:val="lv-LV"/>
        </w:rPr>
        <w:t>Kandavas novada būvvalde ir izsniegusi atzīmi par būvdarbu pabeigšanu</w:t>
      </w:r>
      <w:r w:rsidRPr="00973A99">
        <w:rPr>
          <w:sz w:val="22"/>
          <w:szCs w:val="22"/>
          <w:lang w:val="lv-LV"/>
        </w:rPr>
        <w:t xml:space="preserve">, izvest atkritumus, sakopt un savest kārtībā darbavietu pilnā apjomā. </w:t>
      </w:r>
    </w:p>
    <w:p w14:paraId="5A3F8296" w14:textId="77777777" w:rsidR="00923F67" w:rsidRPr="00973A99" w:rsidRDefault="00923F67" w:rsidP="00923F67">
      <w:pPr>
        <w:widowControl/>
        <w:numPr>
          <w:ilvl w:val="1"/>
          <w:numId w:val="1"/>
        </w:numPr>
        <w:tabs>
          <w:tab w:val="left" w:pos="851"/>
        </w:tabs>
        <w:overflowPunct/>
        <w:autoSpaceDE/>
        <w:adjustRightInd/>
        <w:contextualSpacing/>
        <w:jc w:val="both"/>
        <w:rPr>
          <w:sz w:val="22"/>
          <w:szCs w:val="22"/>
          <w:lang w:val="lv-LV"/>
        </w:rPr>
      </w:pPr>
      <w:r w:rsidRPr="00973A99">
        <w:rPr>
          <w:sz w:val="22"/>
          <w:szCs w:val="22"/>
          <w:lang w:val="lv-LV"/>
        </w:rPr>
        <w:t xml:space="preserve"> Pēc Darbu pabeigšanas būvobjektam piegulošo teritoriju, kas tika izmantota darbu vajadzībām, atjaunot sākotnējā vai labākā stāvoklī.</w:t>
      </w:r>
    </w:p>
    <w:p w14:paraId="5181929A" w14:textId="77777777" w:rsidR="00923F67" w:rsidRPr="00973A99" w:rsidRDefault="00923F67" w:rsidP="00923F67">
      <w:pPr>
        <w:widowControl/>
        <w:numPr>
          <w:ilvl w:val="1"/>
          <w:numId w:val="1"/>
        </w:numPr>
        <w:tabs>
          <w:tab w:val="left" w:pos="851"/>
        </w:tabs>
        <w:overflowPunct/>
        <w:autoSpaceDE/>
        <w:adjustRightInd/>
        <w:contextualSpacing/>
        <w:jc w:val="both"/>
        <w:rPr>
          <w:sz w:val="22"/>
          <w:szCs w:val="22"/>
          <w:lang w:val="lv-LV"/>
        </w:rPr>
      </w:pPr>
      <w:r w:rsidRPr="00973A99">
        <w:rPr>
          <w:sz w:val="22"/>
          <w:szCs w:val="22"/>
          <w:lang w:val="lv-LV"/>
        </w:rPr>
        <w:t xml:space="preserve"> Paredzēt nepieciešamo aizsardzību pret bojājumiem citām darbu zonā esošiem komunikāciju un infrastruktūras objektiem.</w:t>
      </w:r>
    </w:p>
    <w:p w14:paraId="72E1FD2D" w14:textId="77777777" w:rsidR="00923F67" w:rsidRPr="00973A99" w:rsidRDefault="00923F67" w:rsidP="00923F67">
      <w:pPr>
        <w:widowControl/>
        <w:numPr>
          <w:ilvl w:val="1"/>
          <w:numId w:val="1"/>
        </w:numPr>
        <w:tabs>
          <w:tab w:val="left" w:pos="851"/>
        </w:tabs>
        <w:overflowPunct/>
        <w:autoSpaceDE/>
        <w:adjustRightInd/>
        <w:contextualSpacing/>
        <w:jc w:val="both"/>
        <w:rPr>
          <w:sz w:val="22"/>
          <w:szCs w:val="22"/>
          <w:lang w:val="lv-LV"/>
        </w:rPr>
      </w:pPr>
      <w:r w:rsidRPr="00973A99">
        <w:rPr>
          <w:sz w:val="22"/>
          <w:szCs w:val="22"/>
          <w:lang w:val="lv-LV"/>
        </w:rPr>
        <w:t xml:space="preserve"> Izpildītājs ir atbildīgs par objekta būvniecības/demontāžas gaitā atgūto materiālu saglabāšanu un, ja Pasūtītājs pieprasa, to nodošanu Pasūtītāja rīcībā tā norādītājā vietā.</w:t>
      </w:r>
    </w:p>
    <w:p w14:paraId="62BAA261" w14:textId="77777777" w:rsidR="00923F67" w:rsidRPr="00973A99" w:rsidRDefault="00923F67" w:rsidP="00923F67">
      <w:pPr>
        <w:widowControl/>
        <w:numPr>
          <w:ilvl w:val="1"/>
          <w:numId w:val="1"/>
        </w:numPr>
        <w:tabs>
          <w:tab w:val="left" w:pos="851"/>
        </w:tabs>
        <w:overflowPunct/>
        <w:autoSpaceDE/>
        <w:adjustRightInd/>
        <w:contextualSpacing/>
        <w:jc w:val="both"/>
        <w:rPr>
          <w:sz w:val="22"/>
          <w:szCs w:val="22"/>
          <w:lang w:val="lv-LV"/>
        </w:rPr>
      </w:pPr>
      <w:r w:rsidRPr="00973A99">
        <w:rPr>
          <w:sz w:val="22"/>
          <w:szCs w:val="22"/>
          <w:lang w:val="lv-LV"/>
        </w:rPr>
        <w:t>Darbu rezultātā objektam nodarītie bojājumi vai citi zaudējumi, kas radušies Izpildītāja darbības vai bezdarbības rezultātā, Izpildītājam jānovērš par saviem līdzekļiem.</w:t>
      </w:r>
    </w:p>
    <w:p w14:paraId="2CF446F8" w14:textId="77777777" w:rsidR="00923F67" w:rsidRPr="00973A99" w:rsidRDefault="00923F67" w:rsidP="00973A99">
      <w:pPr>
        <w:pStyle w:val="ListParagraph"/>
        <w:numPr>
          <w:ilvl w:val="1"/>
          <w:numId w:val="1"/>
        </w:numPr>
        <w:tabs>
          <w:tab w:val="clear" w:pos="792"/>
        </w:tabs>
        <w:ind w:left="851" w:hanging="494"/>
        <w:jc w:val="both"/>
        <w:rPr>
          <w:b/>
          <w:bCs/>
          <w:sz w:val="22"/>
          <w:szCs w:val="22"/>
        </w:rPr>
      </w:pPr>
      <w:r w:rsidRPr="00973A99">
        <w:rPr>
          <w:sz w:val="22"/>
          <w:szCs w:val="22"/>
        </w:rPr>
        <w:t>Pēc darbu pabeigšanas Izpildītājs noformē un iesniedz Pasūtītājam izpilddokumentāciju, kuras sastāvā jābūt segto darbu aktiem, ieinteresēto fizisko un juridisko personu atzinumiem, materiālu un konstrukciju atbilstības deklarācijām vai sertifikātiem.</w:t>
      </w:r>
    </w:p>
    <w:p w14:paraId="325368DE" w14:textId="77777777" w:rsidR="00923F67" w:rsidRDefault="00923F67" w:rsidP="00923F67">
      <w:pPr>
        <w:pStyle w:val="ListParagraph"/>
        <w:ind w:left="788"/>
        <w:jc w:val="both"/>
        <w:rPr>
          <w:b/>
          <w:bCs/>
          <w:sz w:val="22"/>
          <w:szCs w:val="22"/>
        </w:rPr>
      </w:pPr>
    </w:p>
    <w:p w14:paraId="44EADF25" w14:textId="77777777" w:rsidR="00973A99" w:rsidRDefault="00973A99" w:rsidP="00923F67">
      <w:pPr>
        <w:pStyle w:val="ListParagraph"/>
        <w:ind w:left="788"/>
        <w:jc w:val="both"/>
        <w:rPr>
          <w:b/>
          <w:bCs/>
          <w:sz w:val="22"/>
          <w:szCs w:val="22"/>
        </w:rPr>
      </w:pPr>
    </w:p>
    <w:p w14:paraId="017F67C3" w14:textId="77777777" w:rsidR="00973A99" w:rsidRDefault="00973A99" w:rsidP="00923F67">
      <w:pPr>
        <w:pStyle w:val="ListParagraph"/>
        <w:ind w:left="788"/>
        <w:jc w:val="both"/>
        <w:rPr>
          <w:b/>
          <w:bCs/>
          <w:sz w:val="22"/>
          <w:szCs w:val="22"/>
        </w:rPr>
      </w:pPr>
    </w:p>
    <w:p w14:paraId="0FBC44BD" w14:textId="77777777" w:rsidR="00973A99" w:rsidRDefault="00973A99" w:rsidP="00923F67">
      <w:pPr>
        <w:pStyle w:val="ListParagraph"/>
        <w:ind w:left="788"/>
        <w:jc w:val="both"/>
        <w:rPr>
          <w:b/>
          <w:bCs/>
          <w:sz w:val="22"/>
          <w:szCs w:val="22"/>
        </w:rPr>
      </w:pPr>
    </w:p>
    <w:p w14:paraId="44A5B02C" w14:textId="77777777" w:rsidR="00973A99" w:rsidRPr="00973A99" w:rsidRDefault="00973A99" w:rsidP="00923F67">
      <w:pPr>
        <w:pStyle w:val="ListParagraph"/>
        <w:ind w:left="788"/>
        <w:jc w:val="both"/>
        <w:rPr>
          <w:b/>
          <w:bCs/>
          <w:sz w:val="22"/>
          <w:szCs w:val="22"/>
        </w:rPr>
      </w:pPr>
    </w:p>
    <w:p w14:paraId="23645F17" w14:textId="77777777" w:rsidR="00923F67" w:rsidRPr="00973A99" w:rsidRDefault="00923F67" w:rsidP="00923F67">
      <w:pPr>
        <w:widowControl/>
        <w:overflowPunct/>
        <w:autoSpaceDE/>
        <w:adjustRightInd/>
        <w:spacing w:after="200" w:line="276" w:lineRule="auto"/>
        <w:jc w:val="both"/>
        <w:rPr>
          <w:b/>
          <w:bCs/>
          <w:iCs/>
          <w:sz w:val="24"/>
          <w:szCs w:val="24"/>
          <w:lang w:val="lv-LV"/>
        </w:rPr>
      </w:pPr>
      <w:r w:rsidRPr="00973A99">
        <w:rPr>
          <w:b/>
          <w:bCs/>
          <w:iCs/>
          <w:sz w:val="24"/>
          <w:szCs w:val="24"/>
          <w:lang w:val="lv-LV"/>
        </w:rPr>
        <w:lastRenderedPageBreak/>
        <w:t>Darba apjomi saskaņā ar Lokālo tāmi:</w:t>
      </w:r>
    </w:p>
    <w:tbl>
      <w:tblPr>
        <w:tblW w:w="8856" w:type="dxa"/>
        <w:tblLook w:val="04A0" w:firstRow="1" w:lastRow="0" w:firstColumn="1" w:lastColumn="0" w:noHBand="0" w:noVBand="1"/>
      </w:tblPr>
      <w:tblGrid>
        <w:gridCol w:w="368"/>
        <w:gridCol w:w="515"/>
        <w:gridCol w:w="4401"/>
        <w:gridCol w:w="2166"/>
        <w:gridCol w:w="1228"/>
        <w:gridCol w:w="222"/>
      </w:tblGrid>
      <w:tr w:rsidR="00973A99" w:rsidRPr="00973A99" w14:paraId="1A475B05" w14:textId="77777777" w:rsidTr="00973A99">
        <w:trPr>
          <w:gridAfter w:val="1"/>
          <w:wAfter w:w="222" w:type="dxa"/>
          <w:trHeight w:val="433"/>
        </w:trPr>
        <w:tc>
          <w:tcPr>
            <w:tcW w:w="839" w:type="dxa"/>
            <w:gridSpan w:val="2"/>
            <w:vMerge w:val="restart"/>
            <w:tcBorders>
              <w:top w:val="single" w:sz="4" w:space="0" w:color="auto"/>
              <w:left w:val="single" w:sz="4" w:space="0" w:color="auto"/>
              <w:bottom w:val="single" w:sz="4" w:space="0" w:color="auto"/>
              <w:right w:val="single" w:sz="4" w:space="0" w:color="auto"/>
            </w:tcBorders>
            <w:shd w:val="clear" w:color="FFF5CE" w:fill="E7E6E6"/>
            <w:vAlign w:val="center"/>
            <w:hideMark/>
          </w:tcPr>
          <w:p w14:paraId="5CA0C215" w14:textId="77777777" w:rsidR="00973A99" w:rsidRPr="00973A99" w:rsidRDefault="00973A99" w:rsidP="00973A99">
            <w:pPr>
              <w:widowControl/>
              <w:overflowPunct/>
              <w:autoSpaceDE/>
              <w:autoSpaceDN/>
              <w:adjustRightInd/>
              <w:jc w:val="center"/>
              <w:rPr>
                <w:b/>
                <w:bCs/>
                <w:kern w:val="0"/>
                <w:sz w:val="22"/>
                <w:szCs w:val="22"/>
                <w:lang w:val="lv-LV"/>
              </w:rPr>
            </w:pPr>
            <w:r w:rsidRPr="00973A99">
              <w:rPr>
                <w:b/>
                <w:bCs/>
                <w:kern w:val="0"/>
                <w:sz w:val="22"/>
                <w:szCs w:val="22"/>
                <w:lang w:val="lv-LV"/>
              </w:rPr>
              <w:t>Nr.p.k.</w:t>
            </w:r>
          </w:p>
        </w:tc>
        <w:tc>
          <w:tcPr>
            <w:tcW w:w="4401" w:type="dxa"/>
            <w:vMerge w:val="restart"/>
            <w:tcBorders>
              <w:top w:val="single" w:sz="4" w:space="0" w:color="auto"/>
              <w:left w:val="single" w:sz="4" w:space="0" w:color="auto"/>
              <w:bottom w:val="single" w:sz="4" w:space="0" w:color="auto"/>
              <w:right w:val="single" w:sz="4" w:space="0" w:color="auto"/>
            </w:tcBorders>
            <w:shd w:val="clear" w:color="FFF5CE" w:fill="E7E6E6"/>
            <w:vAlign w:val="center"/>
            <w:hideMark/>
          </w:tcPr>
          <w:p w14:paraId="1E427978" w14:textId="77777777" w:rsidR="00973A99" w:rsidRPr="00973A99" w:rsidRDefault="00973A99" w:rsidP="00973A99">
            <w:pPr>
              <w:widowControl/>
              <w:overflowPunct/>
              <w:autoSpaceDE/>
              <w:autoSpaceDN/>
              <w:adjustRightInd/>
              <w:jc w:val="center"/>
              <w:rPr>
                <w:b/>
                <w:bCs/>
                <w:kern w:val="0"/>
                <w:sz w:val="22"/>
                <w:szCs w:val="22"/>
                <w:lang w:val="lv-LV"/>
              </w:rPr>
            </w:pPr>
            <w:r w:rsidRPr="00973A99">
              <w:rPr>
                <w:b/>
                <w:bCs/>
                <w:kern w:val="0"/>
                <w:sz w:val="22"/>
                <w:szCs w:val="22"/>
                <w:lang w:val="lv-LV"/>
              </w:rPr>
              <w:t>Būvdarbu nosaukums</w:t>
            </w:r>
          </w:p>
        </w:tc>
        <w:tc>
          <w:tcPr>
            <w:tcW w:w="2166" w:type="dxa"/>
            <w:vMerge w:val="restart"/>
            <w:tcBorders>
              <w:top w:val="single" w:sz="4" w:space="0" w:color="auto"/>
              <w:left w:val="single" w:sz="4" w:space="0" w:color="auto"/>
              <w:bottom w:val="single" w:sz="4" w:space="0" w:color="auto"/>
              <w:right w:val="single" w:sz="4" w:space="0" w:color="auto"/>
            </w:tcBorders>
            <w:shd w:val="clear" w:color="FFF5CE" w:fill="E7E6E6"/>
            <w:noWrap/>
            <w:vAlign w:val="center"/>
            <w:hideMark/>
          </w:tcPr>
          <w:p w14:paraId="773AC243" w14:textId="77777777" w:rsidR="00973A99" w:rsidRPr="00973A99" w:rsidRDefault="00973A99" w:rsidP="00973A99">
            <w:pPr>
              <w:widowControl/>
              <w:overflowPunct/>
              <w:autoSpaceDE/>
              <w:autoSpaceDN/>
              <w:adjustRightInd/>
              <w:jc w:val="center"/>
              <w:rPr>
                <w:b/>
                <w:bCs/>
                <w:kern w:val="0"/>
                <w:sz w:val="22"/>
                <w:szCs w:val="22"/>
                <w:lang w:val="lv-LV"/>
              </w:rPr>
            </w:pPr>
            <w:r w:rsidRPr="00973A99">
              <w:rPr>
                <w:b/>
                <w:bCs/>
                <w:kern w:val="0"/>
                <w:sz w:val="22"/>
                <w:szCs w:val="22"/>
                <w:lang w:val="lv-LV"/>
              </w:rPr>
              <w:t>Mērvienība</w:t>
            </w:r>
          </w:p>
        </w:tc>
        <w:tc>
          <w:tcPr>
            <w:tcW w:w="1228" w:type="dxa"/>
            <w:vMerge w:val="restart"/>
            <w:tcBorders>
              <w:top w:val="single" w:sz="4" w:space="0" w:color="auto"/>
              <w:left w:val="single" w:sz="4" w:space="0" w:color="auto"/>
              <w:bottom w:val="single" w:sz="4" w:space="0" w:color="auto"/>
              <w:right w:val="single" w:sz="4" w:space="0" w:color="auto"/>
            </w:tcBorders>
            <w:shd w:val="clear" w:color="FFF5CE" w:fill="E7E6E6"/>
            <w:noWrap/>
            <w:vAlign w:val="center"/>
            <w:hideMark/>
          </w:tcPr>
          <w:p w14:paraId="243B8418" w14:textId="77777777" w:rsidR="00973A99" w:rsidRPr="00973A99" w:rsidRDefault="00973A99" w:rsidP="00973A99">
            <w:pPr>
              <w:widowControl/>
              <w:overflowPunct/>
              <w:autoSpaceDE/>
              <w:autoSpaceDN/>
              <w:adjustRightInd/>
              <w:jc w:val="center"/>
              <w:rPr>
                <w:b/>
                <w:bCs/>
                <w:kern w:val="0"/>
                <w:sz w:val="22"/>
                <w:szCs w:val="22"/>
                <w:lang w:val="lv-LV"/>
              </w:rPr>
            </w:pPr>
            <w:r w:rsidRPr="00973A99">
              <w:rPr>
                <w:b/>
                <w:bCs/>
                <w:kern w:val="0"/>
                <w:sz w:val="22"/>
                <w:szCs w:val="22"/>
                <w:lang w:val="lv-LV"/>
              </w:rPr>
              <w:t>Daudzums</w:t>
            </w:r>
          </w:p>
        </w:tc>
      </w:tr>
      <w:tr w:rsidR="00973A99" w:rsidRPr="00973A99" w14:paraId="71EFA46C" w14:textId="77777777" w:rsidTr="00973A99">
        <w:trPr>
          <w:trHeight w:val="58"/>
        </w:trPr>
        <w:tc>
          <w:tcPr>
            <w:tcW w:w="839" w:type="dxa"/>
            <w:gridSpan w:val="2"/>
            <w:vMerge/>
            <w:tcBorders>
              <w:top w:val="single" w:sz="4" w:space="0" w:color="auto"/>
              <w:left w:val="single" w:sz="4" w:space="0" w:color="auto"/>
              <w:bottom w:val="single" w:sz="4" w:space="0" w:color="auto"/>
              <w:right w:val="single" w:sz="4" w:space="0" w:color="auto"/>
            </w:tcBorders>
            <w:vAlign w:val="center"/>
            <w:hideMark/>
          </w:tcPr>
          <w:p w14:paraId="3E7BA18A" w14:textId="77777777" w:rsidR="00973A99" w:rsidRPr="00973A99" w:rsidRDefault="00973A99" w:rsidP="00973A99">
            <w:pPr>
              <w:widowControl/>
              <w:overflowPunct/>
              <w:autoSpaceDE/>
              <w:autoSpaceDN/>
              <w:adjustRightInd/>
              <w:rPr>
                <w:b/>
                <w:bCs/>
                <w:kern w:val="0"/>
                <w:sz w:val="22"/>
                <w:szCs w:val="22"/>
                <w:lang w:val="lv-LV"/>
              </w:rPr>
            </w:pPr>
          </w:p>
        </w:tc>
        <w:tc>
          <w:tcPr>
            <w:tcW w:w="4401" w:type="dxa"/>
            <w:vMerge/>
            <w:tcBorders>
              <w:top w:val="single" w:sz="4" w:space="0" w:color="auto"/>
              <w:left w:val="single" w:sz="4" w:space="0" w:color="auto"/>
              <w:bottom w:val="single" w:sz="4" w:space="0" w:color="auto"/>
              <w:right w:val="single" w:sz="4" w:space="0" w:color="auto"/>
            </w:tcBorders>
            <w:vAlign w:val="center"/>
            <w:hideMark/>
          </w:tcPr>
          <w:p w14:paraId="27F0F2FE" w14:textId="77777777" w:rsidR="00973A99" w:rsidRPr="00973A99" w:rsidRDefault="00973A99" w:rsidP="00973A99">
            <w:pPr>
              <w:widowControl/>
              <w:overflowPunct/>
              <w:autoSpaceDE/>
              <w:autoSpaceDN/>
              <w:adjustRightInd/>
              <w:rPr>
                <w:b/>
                <w:bCs/>
                <w:kern w:val="0"/>
                <w:sz w:val="22"/>
                <w:szCs w:val="22"/>
                <w:lang w:val="lv-LV"/>
              </w:rPr>
            </w:pPr>
          </w:p>
        </w:tc>
        <w:tc>
          <w:tcPr>
            <w:tcW w:w="2166" w:type="dxa"/>
            <w:vMerge/>
            <w:tcBorders>
              <w:top w:val="single" w:sz="4" w:space="0" w:color="auto"/>
              <w:left w:val="single" w:sz="4" w:space="0" w:color="auto"/>
              <w:bottom w:val="single" w:sz="4" w:space="0" w:color="auto"/>
              <w:right w:val="single" w:sz="4" w:space="0" w:color="auto"/>
            </w:tcBorders>
            <w:vAlign w:val="center"/>
            <w:hideMark/>
          </w:tcPr>
          <w:p w14:paraId="61A6B52A" w14:textId="77777777" w:rsidR="00973A99" w:rsidRPr="00973A99" w:rsidRDefault="00973A99" w:rsidP="00973A99">
            <w:pPr>
              <w:widowControl/>
              <w:overflowPunct/>
              <w:autoSpaceDE/>
              <w:autoSpaceDN/>
              <w:adjustRightInd/>
              <w:rPr>
                <w:b/>
                <w:bCs/>
                <w:kern w:val="0"/>
                <w:sz w:val="22"/>
                <w:szCs w:val="22"/>
                <w:lang w:val="lv-LV"/>
              </w:rPr>
            </w:pPr>
          </w:p>
        </w:tc>
        <w:tc>
          <w:tcPr>
            <w:tcW w:w="1228" w:type="dxa"/>
            <w:vMerge/>
            <w:tcBorders>
              <w:top w:val="single" w:sz="4" w:space="0" w:color="auto"/>
              <w:left w:val="single" w:sz="4" w:space="0" w:color="auto"/>
              <w:bottom w:val="single" w:sz="4" w:space="0" w:color="auto"/>
              <w:right w:val="single" w:sz="4" w:space="0" w:color="auto"/>
            </w:tcBorders>
            <w:vAlign w:val="center"/>
            <w:hideMark/>
          </w:tcPr>
          <w:p w14:paraId="5381039E" w14:textId="77777777" w:rsidR="00973A99" w:rsidRPr="00973A99" w:rsidRDefault="00973A99" w:rsidP="00973A99">
            <w:pPr>
              <w:widowControl/>
              <w:overflowPunct/>
              <w:autoSpaceDE/>
              <w:autoSpaceDN/>
              <w:adjustRightInd/>
              <w:rPr>
                <w:b/>
                <w:bCs/>
                <w:kern w:val="0"/>
                <w:sz w:val="22"/>
                <w:szCs w:val="22"/>
                <w:lang w:val="lv-LV"/>
              </w:rPr>
            </w:pPr>
          </w:p>
        </w:tc>
        <w:tc>
          <w:tcPr>
            <w:tcW w:w="222" w:type="dxa"/>
            <w:tcBorders>
              <w:top w:val="nil"/>
              <w:left w:val="nil"/>
              <w:bottom w:val="nil"/>
              <w:right w:val="nil"/>
            </w:tcBorders>
            <w:shd w:val="clear" w:color="auto" w:fill="auto"/>
            <w:noWrap/>
            <w:vAlign w:val="bottom"/>
            <w:hideMark/>
          </w:tcPr>
          <w:p w14:paraId="1774ABCD" w14:textId="77777777" w:rsidR="00973A99" w:rsidRPr="00973A99" w:rsidRDefault="00973A99" w:rsidP="00973A99">
            <w:pPr>
              <w:widowControl/>
              <w:overflowPunct/>
              <w:autoSpaceDE/>
              <w:autoSpaceDN/>
              <w:adjustRightInd/>
              <w:jc w:val="center"/>
              <w:rPr>
                <w:b/>
                <w:bCs/>
                <w:kern w:val="0"/>
                <w:sz w:val="22"/>
                <w:szCs w:val="22"/>
                <w:lang w:val="lv-LV"/>
              </w:rPr>
            </w:pPr>
          </w:p>
        </w:tc>
      </w:tr>
      <w:tr w:rsidR="00973A99" w:rsidRPr="00973A99" w14:paraId="462CFADE" w14:textId="77777777" w:rsidTr="00973A99">
        <w:trPr>
          <w:trHeight w:val="288"/>
        </w:trPr>
        <w:tc>
          <w:tcPr>
            <w:tcW w:w="839" w:type="dxa"/>
            <w:gridSpan w:val="2"/>
            <w:tcBorders>
              <w:top w:val="nil"/>
              <w:left w:val="single" w:sz="4" w:space="0" w:color="auto"/>
              <w:bottom w:val="single" w:sz="4" w:space="0" w:color="auto"/>
              <w:right w:val="single" w:sz="4" w:space="0" w:color="auto"/>
            </w:tcBorders>
            <w:shd w:val="clear" w:color="auto" w:fill="auto"/>
            <w:vAlign w:val="center"/>
            <w:hideMark/>
          </w:tcPr>
          <w:p w14:paraId="1183B1FB" w14:textId="77777777" w:rsidR="00973A99" w:rsidRPr="00973A99" w:rsidRDefault="00973A99" w:rsidP="00973A99">
            <w:pPr>
              <w:widowControl/>
              <w:overflowPunct/>
              <w:autoSpaceDE/>
              <w:autoSpaceDN/>
              <w:adjustRightInd/>
              <w:jc w:val="center"/>
              <w:rPr>
                <w:kern w:val="0"/>
                <w:sz w:val="22"/>
                <w:szCs w:val="22"/>
                <w:lang w:val="lv-LV"/>
              </w:rPr>
            </w:pPr>
            <w:r w:rsidRPr="00973A99">
              <w:rPr>
                <w:kern w:val="0"/>
                <w:sz w:val="22"/>
                <w:szCs w:val="22"/>
                <w:lang w:val="lv-LV"/>
              </w:rPr>
              <w:t>1.</w:t>
            </w:r>
          </w:p>
        </w:tc>
        <w:tc>
          <w:tcPr>
            <w:tcW w:w="4401" w:type="dxa"/>
            <w:tcBorders>
              <w:top w:val="nil"/>
              <w:left w:val="nil"/>
              <w:bottom w:val="single" w:sz="4" w:space="0" w:color="auto"/>
              <w:right w:val="single" w:sz="4" w:space="0" w:color="auto"/>
            </w:tcBorders>
            <w:shd w:val="clear" w:color="auto" w:fill="auto"/>
            <w:vAlign w:val="center"/>
            <w:hideMark/>
          </w:tcPr>
          <w:p w14:paraId="044FAFA5" w14:textId="77777777" w:rsidR="00973A99" w:rsidRPr="00973A99" w:rsidRDefault="00973A99" w:rsidP="00973A99">
            <w:pPr>
              <w:widowControl/>
              <w:overflowPunct/>
              <w:autoSpaceDE/>
              <w:autoSpaceDN/>
              <w:adjustRightInd/>
              <w:jc w:val="center"/>
              <w:rPr>
                <w:b/>
                <w:bCs/>
                <w:kern w:val="0"/>
                <w:sz w:val="22"/>
                <w:szCs w:val="22"/>
                <w:lang w:val="lv-LV"/>
              </w:rPr>
            </w:pPr>
            <w:r w:rsidRPr="00973A99">
              <w:rPr>
                <w:b/>
                <w:bCs/>
                <w:kern w:val="0"/>
                <w:sz w:val="22"/>
                <w:szCs w:val="22"/>
                <w:lang w:val="lv-LV"/>
              </w:rPr>
              <w:t>Demontāžas darbi</w:t>
            </w:r>
          </w:p>
        </w:tc>
        <w:tc>
          <w:tcPr>
            <w:tcW w:w="2166" w:type="dxa"/>
            <w:tcBorders>
              <w:top w:val="nil"/>
              <w:left w:val="nil"/>
              <w:bottom w:val="single" w:sz="4" w:space="0" w:color="auto"/>
              <w:right w:val="single" w:sz="4" w:space="0" w:color="auto"/>
            </w:tcBorders>
            <w:shd w:val="clear" w:color="auto" w:fill="auto"/>
            <w:noWrap/>
            <w:vAlign w:val="center"/>
            <w:hideMark/>
          </w:tcPr>
          <w:p w14:paraId="00120F08" w14:textId="77777777" w:rsidR="00973A99" w:rsidRPr="00973A99" w:rsidRDefault="00973A99" w:rsidP="00973A99">
            <w:pPr>
              <w:widowControl/>
              <w:overflowPunct/>
              <w:autoSpaceDE/>
              <w:autoSpaceDN/>
              <w:adjustRightInd/>
              <w:jc w:val="center"/>
              <w:rPr>
                <w:kern w:val="0"/>
                <w:sz w:val="22"/>
                <w:szCs w:val="22"/>
                <w:lang w:val="lv-LV"/>
              </w:rPr>
            </w:pPr>
            <w:r w:rsidRPr="00973A99">
              <w:rPr>
                <w:kern w:val="0"/>
                <w:sz w:val="22"/>
                <w:szCs w:val="22"/>
                <w:lang w:val="lv-LV"/>
              </w:rPr>
              <w:t> </w:t>
            </w:r>
          </w:p>
        </w:tc>
        <w:tc>
          <w:tcPr>
            <w:tcW w:w="1228" w:type="dxa"/>
            <w:tcBorders>
              <w:top w:val="nil"/>
              <w:left w:val="nil"/>
              <w:bottom w:val="single" w:sz="4" w:space="0" w:color="auto"/>
              <w:right w:val="single" w:sz="4" w:space="0" w:color="auto"/>
            </w:tcBorders>
            <w:shd w:val="clear" w:color="auto" w:fill="auto"/>
            <w:noWrap/>
            <w:vAlign w:val="center"/>
            <w:hideMark/>
          </w:tcPr>
          <w:p w14:paraId="4FD76153" w14:textId="77777777" w:rsidR="00973A99" w:rsidRPr="00973A99" w:rsidRDefault="00973A99" w:rsidP="00973A99">
            <w:pPr>
              <w:widowControl/>
              <w:overflowPunct/>
              <w:autoSpaceDE/>
              <w:autoSpaceDN/>
              <w:adjustRightInd/>
              <w:jc w:val="center"/>
              <w:rPr>
                <w:kern w:val="0"/>
                <w:sz w:val="22"/>
                <w:szCs w:val="22"/>
                <w:lang w:val="lv-LV"/>
              </w:rPr>
            </w:pPr>
            <w:r w:rsidRPr="00973A99">
              <w:rPr>
                <w:kern w:val="0"/>
                <w:sz w:val="22"/>
                <w:szCs w:val="22"/>
                <w:lang w:val="lv-LV"/>
              </w:rPr>
              <w:t> </w:t>
            </w:r>
          </w:p>
        </w:tc>
        <w:tc>
          <w:tcPr>
            <w:tcW w:w="222" w:type="dxa"/>
            <w:vAlign w:val="center"/>
            <w:hideMark/>
          </w:tcPr>
          <w:p w14:paraId="14BD8892" w14:textId="77777777" w:rsidR="00973A99" w:rsidRPr="00973A99" w:rsidRDefault="00973A99" w:rsidP="00973A99">
            <w:pPr>
              <w:widowControl/>
              <w:overflowPunct/>
              <w:autoSpaceDE/>
              <w:autoSpaceDN/>
              <w:adjustRightInd/>
              <w:rPr>
                <w:kern w:val="0"/>
                <w:sz w:val="22"/>
                <w:szCs w:val="22"/>
                <w:lang w:val="lv-LV"/>
              </w:rPr>
            </w:pPr>
          </w:p>
        </w:tc>
      </w:tr>
      <w:tr w:rsidR="00973A99" w:rsidRPr="00973A99" w14:paraId="602E6DBD" w14:textId="77777777" w:rsidTr="00973A99">
        <w:trPr>
          <w:trHeight w:val="288"/>
        </w:trPr>
        <w:tc>
          <w:tcPr>
            <w:tcW w:w="839" w:type="dxa"/>
            <w:gridSpan w:val="2"/>
            <w:tcBorders>
              <w:top w:val="nil"/>
              <w:left w:val="single" w:sz="4" w:space="0" w:color="auto"/>
              <w:bottom w:val="single" w:sz="4" w:space="0" w:color="auto"/>
              <w:right w:val="single" w:sz="4" w:space="0" w:color="auto"/>
            </w:tcBorders>
            <w:shd w:val="clear" w:color="auto" w:fill="auto"/>
            <w:vAlign w:val="center"/>
            <w:hideMark/>
          </w:tcPr>
          <w:p w14:paraId="46A0E878" w14:textId="77777777" w:rsidR="00973A99" w:rsidRPr="00973A99" w:rsidRDefault="00973A99" w:rsidP="00973A99">
            <w:pPr>
              <w:widowControl/>
              <w:overflowPunct/>
              <w:autoSpaceDE/>
              <w:autoSpaceDN/>
              <w:adjustRightInd/>
              <w:jc w:val="center"/>
              <w:rPr>
                <w:kern w:val="0"/>
                <w:sz w:val="22"/>
                <w:szCs w:val="22"/>
                <w:lang w:val="lv-LV"/>
              </w:rPr>
            </w:pPr>
            <w:r w:rsidRPr="00973A99">
              <w:rPr>
                <w:kern w:val="0"/>
                <w:sz w:val="22"/>
                <w:szCs w:val="22"/>
                <w:lang w:val="lv-LV"/>
              </w:rPr>
              <w:t>1.1.</w:t>
            </w:r>
          </w:p>
        </w:tc>
        <w:tc>
          <w:tcPr>
            <w:tcW w:w="4401" w:type="dxa"/>
            <w:tcBorders>
              <w:top w:val="nil"/>
              <w:left w:val="nil"/>
              <w:bottom w:val="single" w:sz="4" w:space="0" w:color="auto"/>
              <w:right w:val="single" w:sz="4" w:space="0" w:color="auto"/>
            </w:tcBorders>
            <w:shd w:val="clear" w:color="auto" w:fill="auto"/>
            <w:vAlign w:val="center"/>
            <w:hideMark/>
          </w:tcPr>
          <w:p w14:paraId="26032AEC" w14:textId="77777777" w:rsidR="00973A99" w:rsidRPr="00973A99" w:rsidRDefault="00973A99" w:rsidP="00973A99">
            <w:pPr>
              <w:widowControl/>
              <w:overflowPunct/>
              <w:autoSpaceDE/>
              <w:autoSpaceDN/>
              <w:adjustRightInd/>
              <w:rPr>
                <w:kern w:val="0"/>
                <w:sz w:val="22"/>
                <w:szCs w:val="22"/>
                <w:lang w:val="lv-LV"/>
              </w:rPr>
            </w:pPr>
            <w:r w:rsidRPr="00973A99">
              <w:rPr>
                <w:kern w:val="0"/>
                <w:sz w:val="22"/>
                <w:szCs w:val="22"/>
                <w:lang w:val="lv-LV"/>
              </w:rPr>
              <w:t>Nesošo konstrukciju demontāža</w:t>
            </w:r>
          </w:p>
        </w:tc>
        <w:tc>
          <w:tcPr>
            <w:tcW w:w="2166" w:type="dxa"/>
            <w:tcBorders>
              <w:top w:val="nil"/>
              <w:left w:val="nil"/>
              <w:bottom w:val="single" w:sz="4" w:space="0" w:color="auto"/>
              <w:right w:val="single" w:sz="4" w:space="0" w:color="auto"/>
            </w:tcBorders>
            <w:shd w:val="clear" w:color="auto" w:fill="auto"/>
            <w:noWrap/>
            <w:vAlign w:val="center"/>
            <w:hideMark/>
          </w:tcPr>
          <w:p w14:paraId="629265B7" w14:textId="77777777" w:rsidR="00973A99" w:rsidRPr="00973A99" w:rsidRDefault="00973A99" w:rsidP="00973A99">
            <w:pPr>
              <w:widowControl/>
              <w:overflowPunct/>
              <w:autoSpaceDE/>
              <w:autoSpaceDN/>
              <w:adjustRightInd/>
              <w:jc w:val="center"/>
              <w:rPr>
                <w:kern w:val="0"/>
                <w:sz w:val="22"/>
                <w:szCs w:val="22"/>
                <w:lang w:val="lv-LV"/>
              </w:rPr>
            </w:pPr>
            <w:r w:rsidRPr="00973A99">
              <w:rPr>
                <w:kern w:val="0"/>
                <w:sz w:val="22"/>
                <w:szCs w:val="22"/>
                <w:lang w:val="lv-LV"/>
              </w:rPr>
              <w:t>m2</w:t>
            </w:r>
          </w:p>
        </w:tc>
        <w:tc>
          <w:tcPr>
            <w:tcW w:w="1228" w:type="dxa"/>
            <w:tcBorders>
              <w:top w:val="nil"/>
              <w:left w:val="nil"/>
              <w:bottom w:val="single" w:sz="4" w:space="0" w:color="auto"/>
              <w:right w:val="single" w:sz="4" w:space="0" w:color="auto"/>
            </w:tcBorders>
            <w:shd w:val="clear" w:color="auto" w:fill="auto"/>
            <w:noWrap/>
            <w:vAlign w:val="center"/>
            <w:hideMark/>
          </w:tcPr>
          <w:p w14:paraId="25551059" w14:textId="77777777" w:rsidR="00973A99" w:rsidRPr="00973A99" w:rsidRDefault="00973A99" w:rsidP="00973A99">
            <w:pPr>
              <w:widowControl/>
              <w:overflowPunct/>
              <w:autoSpaceDE/>
              <w:autoSpaceDN/>
              <w:adjustRightInd/>
              <w:jc w:val="center"/>
              <w:rPr>
                <w:kern w:val="0"/>
                <w:sz w:val="22"/>
                <w:szCs w:val="22"/>
                <w:lang w:val="lv-LV"/>
              </w:rPr>
            </w:pPr>
            <w:r w:rsidRPr="00973A99">
              <w:rPr>
                <w:kern w:val="0"/>
                <w:sz w:val="22"/>
                <w:szCs w:val="22"/>
                <w:lang w:val="lv-LV"/>
              </w:rPr>
              <w:t>110</w:t>
            </w:r>
          </w:p>
        </w:tc>
        <w:tc>
          <w:tcPr>
            <w:tcW w:w="222" w:type="dxa"/>
            <w:vAlign w:val="center"/>
            <w:hideMark/>
          </w:tcPr>
          <w:p w14:paraId="4B60EB44" w14:textId="77777777" w:rsidR="00973A99" w:rsidRPr="00973A99" w:rsidRDefault="00973A99" w:rsidP="00973A99">
            <w:pPr>
              <w:widowControl/>
              <w:overflowPunct/>
              <w:autoSpaceDE/>
              <w:autoSpaceDN/>
              <w:adjustRightInd/>
              <w:rPr>
                <w:kern w:val="0"/>
                <w:sz w:val="22"/>
                <w:szCs w:val="22"/>
                <w:lang w:val="lv-LV"/>
              </w:rPr>
            </w:pPr>
          </w:p>
        </w:tc>
      </w:tr>
      <w:tr w:rsidR="00FC3576" w:rsidRPr="00973A99" w14:paraId="096D1529" w14:textId="77777777" w:rsidTr="00973A99">
        <w:trPr>
          <w:trHeight w:val="288"/>
        </w:trPr>
        <w:tc>
          <w:tcPr>
            <w:tcW w:w="839" w:type="dxa"/>
            <w:gridSpan w:val="2"/>
            <w:tcBorders>
              <w:top w:val="nil"/>
              <w:left w:val="single" w:sz="4" w:space="0" w:color="auto"/>
              <w:bottom w:val="single" w:sz="4" w:space="0" w:color="auto"/>
              <w:right w:val="single" w:sz="4" w:space="0" w:color="auto"/>
            </w:tcBorders>
            <w:shd w:val="clear" w:color="auto" w:fill="auto"/>
            <w:vAlign w:val="center"/>
          </w:tcPr>
          <w:p w14:paraId="1D6FBEFA" w14:textId="455BA5DE" w:rsidR="00FC3576" w:rsidRPr="00973A99" w:rsidRDefault="00FC3576" w:rsidP="00973A99">
            <w:pPr>
              <w:widowControl/>
              <w:overflowPunct/>
              <w:autoSpaceDE/>
              <w:autoSpaceDN/>
              <w:adjustRightInd/>
              <w:jc w:val="center"/>
              <w:rPr>
                <w:kern w:val="0"/>
                <w:sz w:val="22"/>
                <w:szCs w:val="22"/>
                <w:lang w:val="lv-LV"/>
              </w:rPr>
            </w:pPr>
            <w:r>
              <w:rPr>
                <w:kern w:val="0"/>
                <w:sz w:val="22"/>
                <w:szCs w:val="22"/>
                <w:lang w:val="lv-LV"/>
              </w:rPr>
              <w:t>1.2.</w:t>
            </w:r>
          </w:p>
        </w:tc>
        <w:tc>
          <w:tcPr>
            <w:tcW w:w="4401" w:type="dxa"/>
            <w:tcBorders>
              <w:top w:val="nil"/>
              <w:left w:val="nil"/>
              <w:bottom w:val="single" w:sz="4" w:space="0" w:color="auto"/>
              <w:right w:val="single" w:sz="4" w:space="0" w:color="auto"/>
            </w:tcBorders>
            <w:shd w:val="clear" w:color="auto" w:fill="auto"/>
            <w:vAlign w:val="center"/>
          </w:tcPr>
          <w:p w14:paraId="62FE4A5F" w14:textId="3000B58E" w:rsidR="00FC3576" w:rsidRPr="00973A99" w:rsidRDefault="00FC3576" w:rsidP="00973A99">
            <w:pPr>
              <w:widowControl/>
              <w:overflowPunct/>
              <w:autoSpaceDE/>
              <w:autoSpaceDN/>
              <w:adjustRightInd/>
              <w:rPr>
                <w:kern w:val="0"/>
                <w:sz w:val="22"/>
                <w:szCs w:val="22"/>
                <w:lang w:val="lv-LV"/>
              </w:rPr>
            </w:pPr>
            <w:r>
              <w:rPr>
                <w:kern w:val="0"/>
                <w:sz w:val="22"/>
                <w:szCs w:val="22"/>
                <w:lang w:val="lv-LV"/>
              </w:rPr>
              <w:t>Būvgružu utilizācija</w:t>
            </w:r>
          </w:p>
        </w:tc>
        <w:tc>
          <w:tcPr>
            <w:tcW w:w="2166" w:type="dxa"/>
            <w:tcBorders>
              <w:top w:val="nil"/>
              <w:left w:val="nil"/>
              <w:bottom w:val="single" w:sz="4" w:space="0" w:color="auto"/>
              <w:right w:val="single" w:sz="4" w:space="0" w:color="auto"/>
            </w:tcBorders>
            <w:shd w:val="clear" w:color="auto" w:fill="auto"/>
            <w:noWrap/>
            <w:vAlign w:val="center"/>
          </w:tcPr>
          <w:p w14:paraId="5077F846" w14:textId="65112BBF" w:rsidR="00FC3576" w:rsidRPr="00973A99" w:rsidRDefault="00FC3576" w:rsidP="00973A99">
            <w:pPr>
              <w:widowControl/>
              <w:overflowPunct/>
              <w:autoSpaceDE/>
              <w:autoSpaceDN/>
              <w:adjustRightInd/>
              <w:jc w:val="center"/>
              <w:rPr>
                <w:kern w:val="0"/>
                <w:sz w:val="22"/>
                <w:szCs w:val="22"/>
                <w:lang w:val="lv-LV"/>
              </w:rPr>
            </w:pPr>
            <w:r w:rsidRPr="00973A99">
              <w:rPr>
                <w:color w:val="000000"/>
                <w:kern w:val="0"/>
                <w:sz w:val="22"/>
                <w:szCs w:val="22"/>
                <w:lang w:val="lv-LV"/>
              </w:rPr>
              <w:t>m3</w:t>
            </w:r>
          </w:p>
        </w:tc>
        <w:tc>
          <w:tcPr>
            <w:tcW w:w="1228" w:type="dxa"/>
            <w:tcBorders>
              <w:top w:val="nil"/>
              <w:left w:val="nil"/>
              <w:bottom w:val="single" w:sz="4" w:space="0" w:color="auto"/>
              <w:right w:val="single" w:sz="4" w:space="0" w:color="auto"/>
            </w:tcBorders>
            <w:shd w:val="clear" w:color="auto" w:fill="auto"/>
            <w:noWrap/>
            <w:vAlign w:val="center"/>
          </w:tcPr>
          <w:p w14:paraId="257C8680" w14:textId="3EBAAAB5" w:rsidR="00FC3576" w:rsidRPr="00973A99" w:rsidRDefault="00FC3576" w:rsidP="00973A99">
            <w:pPr>
              <w:widowControl/>
              <w:overflowPunct/>
              <w:autoSpaceDE/>
              <w:autoSpaceDN/>
              <w:adjustRightInd/>
              <w:jc w:val="center"/>
              <w:rPr>
                <w:kern w:val="0"/>
                <w:sz w:val="22"/>
                <w:szCs w:val="22"/>
                <w:lang w:val="lv-LV"/>
              </w:rPr>
            </w:pPr>
            <w:r>
              <w:rPr>
                <w:kern w:val="0"/>
                <w:sz w:val="22"/>
                <w:szCs w:val="22"/>
                <w:lang w:val="lv-LV"/>
              </w:rPr>
              <w:t>22</w:t>
            </w:r>
          </w:p>
        </w:tc>
        <w:tc>
          <w:tcPr>
            <w:tcW w:w="222" w:type="dxa"/>
            <w:vAlign w:val="center"/>
          </w:tcPr>
          <w:p w14:paraId="354093A6" w14:textId="77777777" w:rsidR="00FC3576" w:rsidRPr="00973A99" w:rsidRDefault="00FC3576" w:rsidP="00973A99">
            <w:pPr>
              <w:widowControl/>
              <w:overflowPunct/>
              <w:autoSpaceDE/>
              <w:autoSpaceDN/>
              <w:adjustRightInd/>
              <w:rPr>
                <w:kern w:val="0"/>
                <w:sz w:val="22"/>
                <w:szCs w:val="22"/>
                <w:lang w:val="lv-LV"/>
              </w:rPr>
            </w:pPr>
          </w:p>
        </w:tc>
      </w:tr>
      <w:tr w:rsidR="00973A99" w:rsidRPr="00973A99" w14:paraId="4F299FAC" w14:textId="77777777" w:rsidTr="00973A99">
        <w:trPr>
          <w:trHeight w:val="288"/>
        </w:trPr>
        <w:tc>
          <w:tcPr>
            <w:tcW w:w="839" w:type="dxa"/>
            <w:gridSpan w:val="2"/>
            <w:tcBorders>
              <w:top w:val="nil"/>
              <w:left w:val="single" w:sz="4" w:space="0" w:color="auto"/>
              <w:bottom w:val="single" w:sz="4" w:space="0" w:color="auto"/>
              <w:right w:val="single" w:sz="4" w:space="0" w:color="auto"/>
            </w:tcBorders>
            <w:shd w:val="clear" w:color="auto" w:fill="auto"/>
            <w:noWrap/>
            <w:vAlign w:val="bottom"/>
            <w:hideMark/>
          </w:tcPr>
          <w:p w14:paraId="7034C3EC" w14:textId="77777777" w:rsidR="00973A99" w:rsidRPr="00973A99" w:rsidRDefault="00973A99" w:rsidP="00973A99">
            <w:pPr>
              <w:widowControl/>
              <w:overflowPunct/>
              <w:autoSpaceDE/>
              <w:autoSpaceDN/>
              <w:adjustRightInd/>
              <w:jc w:val="center"/>
              <w:rPr>
                <w:color w:val="000000"/>
                <w:kern w:val="0"/>
                <w:sz w:val="22"/>
                <w:szCs w:val="22"/>
                <w:lang w:val="lv-LV"/>
              </w:rPr>
            </w:pPr>
            <w:r w:rsidRPr="00973A99">
              <w:rPr>
                <w:color w:val="000000"/>
                <w:kern w:val="0"/>
                <w:sz w:val="22"/>
                <w:szCs w:val="22"/>
                <w:lang w:val="lv-LV"/>
              </w:rPr>
              <w:t>2.</w:t>
            </w:r>
          </w:p>
        </w:tc>
        <w:tc>
          <w:tcPr>
            <w:tcW w:w="4401" w:type="dxa"/>
            <w:tcBorders>
              <w:top w:val="nil"/>
              <w:left w:val="nil"/>
              <w:bottom w:val="single" w:sz="4" w:space="0" w:color="auto"/>
              <w:right w:val="single" w:sz="4" w:space="0" w:color="auto"/>
            </w:tcBorders>
            <w:shd w:val="clear" w:color="auto" w:fill="auto"/>
            <w:noWrap/>
            <w:vAlign w:val="center"/>
            <w:hideMark/>
          </w:tcPr>
          <w:p w14:paraId="334D33E4" w14:textId="77777777" w:rsidR="00973A99" w:rsidRPr="00973A99" w:rsidRDefault="00973A99" w:rsidP="00973A99">
            <w:pPr>
              <w:widowControl/>
              <w:overflowPunct/>
              <w:autoSpaceDE/>
              <w:autoSpaceDN/>
              <w:adjustRightInd/>
              <w:jc w:val="center"/>
              <w:rPr>
                <w:b/>
                <w:bCs/>
                <w:color w:val="000000"/>
                <w:kern w:val="0"/>
                <w:sz w:val="22"/>
                <w:szCs w:val="22"/>
                <w:lang w:val="lv-LV"/>
              </w:rPr>
            </w:pPr>
            <w:r w:rsidRPr="00973A99">
              <w:rPr>
                <w:b/>
                <w:bCs/>
                <w:color w:val="000000"/>
                <w:kern w:val="0"/>
                <w:sz w:val="22"/>
                <w:szCs w:val="22"/>
                <w:lang w:val="lv-LV"/>
              </w:rPr>
              <w:t>Vispārīgie būvdarbi</w:t>
            </w:r>
          </w:p>
        </w:tc>
        <w:tc>
          <w:tcPr>
            <w:tcW w:w="2166" w:type="dxa"/>
            <w:tcBorders>
              <w:top w:val="nil"/>
              <w:left w:val="nil"/>
              <w:bottom w:val="single" w:sz="4" w:space="0" w:color="auto"/>
              <w:right w:val="single" w:sz="4" w:space="0" w:color="auto"/>
            </w:tcBorders>
            <w:shd w:val="clear" w:color="auto" w:fill="auto"/>
            <w:noWrap/>
            <w:vAlign w:val="bottom"/>
            <w:hideMark/>
          </w:tcPr>
          <w:p w14:paraId="33CC6EBF" w14:textId="77777777" w:rsidR="00973A99" w:rsidRPr="00973A99" w:rsidRDefault="00973A99" w:rsidP="00973A99">
            <w:pPr>
              <w:widowControl/>
              <w:overflowPunct/>
              <w:autoSpaceDE/>
              <w:autoSpaceDN/>
              <w:adjustRightInd/>
              <w:rPr>
                <w:color w:val="000000"/>
                <w:kern w:val="0"/>
                <w:sz w:val="22"/>
                <w:szCs w:val="22"/>
                <w:lang w:val="lv-LV"/>
              </w:rPr>
            </w:pPr>
            <w:r w:rsidRPr="00973A99">
              <w:rPr>
                <w:color w:val="000000"/>
                <w:kern w:val="0"/>
                <w:sz w:val="22"/>
                <w:szCs w:val="22"/>
                <w:lang w:val="lv-LV"/>
              </w:rPr>
              <w:t> </w:t>
            </w:r>
          </w:p>
        </w:tc>
        <w:tc>
          <w:tcPr>
            <w:tcW w:w="1228" w:type="dxa"/>
            <w:tcBorders>
              <w:top w:val="nil"/>
              <w:left w:val="nil"/>
              <w:bottom w:val="single" w:sz="4" w:space="0" w:color="auto"/>
              <w:right w:val="single" w:sz="4" w:space="0" w:color="auto"/>
            </w:tcBorders>
            <w:shd w:val="clear" w:color="auto" w:fill="auto"/>
            <w:noWrap/>
            <w:vAlign w:val="bottom"/>
            <w:hideMark/>
          </w:tcPr>
          <w:p w14:paraId="44C162B6" w14:textId="77777777" w:rsidR="00973A99" w:rsidRPr="00973A99" w:rsidRDefault="00973A99" w:rsidP="00973A99">
            <w:pPr>
              <w:widowControl/>
              <w:overflowPunct/>
              <w:autoSpaceDE/>
              <w:autoSpaceDN/>
              <w:adjustRightInd/>
              <w:rPr>
                <w:color w:val="000000"/>
                <w:kern w:val="0"/>
                <w:sz w:val="22"/>
                <w:szCs w:val="22"/>
                <w:lang w:val="lv-LV"/>
              </w:rPr>
            </w:pPr>
            <w:r w:rsidRPr="00973A99">
              <w:rPr>
                <w:color w:val="000000"/>
                <w:kern w:val="0"/>
                <w:sz w:val="22"/>
                <w:szCs w:val="22"/>
                <w:lang w:val="lv-LV"/>
              </w:rPr>
              <w:t> </w:t>
            </w:r>
          </w:p>
        </w:tc>
        <w:tc>
          <w:tcPr>
            <w:tcW w:w="222" w:type="dxa"/>
            <w:vAlign w:val="center"/>
            <w:hideMark/>
          </w:tcPr>
          <w:p w14:paraId="49F4CB57" w14:textId="77777777" w:rsidR="00973A99" w:rsidRPr="00973A99" w:rsidRDefault="00973A99" w:rsidP="00973A99">
            <w:pPr>
              <w:widowControl/>
              <w:overflowPunct/>
              <w:autoSpaceDE/>
              <w:autoSpaceDN/>
              <w:adjustRightInd/>
              <w:rPr>
                <w:kern w:val="0"/>
                <w:sz w:val="22"/>
                <w:szCs w:val="22"/>
                <w:lang w:val="lv-LV"/>
              </w:rPr>
            </w:pPr>
          </w:p>
        </w:tc>
      </w:tr>
      <w:tr w:rsidR="00973A99" w:rsidRPr="00973A99" w14:paraId="2E1ABFAA" w14:textId="77777777" w:rsidTr="00973A99">
        <w:trPr>
          <w:trHeight w:val="540"/>
        </w:trPr>
        <w:tc>
          <w:tcPr>
            <w:tcW w:w="83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ADF65E0" w14:textId="77777777" w:rsidR="00973A99" w:rsidRPr="00973A99" w:rsidRDefault="00973A99" w:rsidP="00973A99">
            <w:pPr>
              <w:widowControl/>
              <w:overflowPunct/>
              <w:autoSpaceDE/>
              <w:autoSpaceDN/>
              <w:adjustRightInd/>
              <w:jc w:val="center"/>
              <w:rPr>
                <w:color w:val="000000"/>
                <w:kern w:val="0"/>
                <w:sz w:val="22"/>
                <w:szCs w:val="22"/>
                <w:lang w:val="lv-LV"/>
              </w:rPr>
            </w:pPr>
            <w:r w:rsidRPr="00973A99">
              <w:rPr>
                <w:color w:val="000000"/>
                <w:kern w:val="0"/>
                <w:sz w:val="22"/>
                <w:szCs w:val="22"/>
                <w:lang w:val="lv-LV"/>
              </w:rPr>
              <w:t>2.1.</w:t>
            </w:r>
          </w:p>
        </w:tc>
        <w:tc>
          <w:tcPr>
            <w:tcW w:w="4401" w:type="dxa"/>
            <w:tcBorders>
              <w:top w:val="nil"/>
              <w:left w:val="nil"/>
              <w:bottom w:val="single" w:sz="4" w:space="0" w:color="auto"/>
              <w:right w:val="single" w:sz="4" w:space="0" w:color="auto"/>
            </w:tcBorders>
            <w:shd w:val="clear" w:color="auto" w:fill="auto"/>
            <w:vAlign w:val="bottom"/>
            <w:hideMark/>
          </w:tcPr>
          <w:p w14:paraId="3753F46E" w14:textId="77777777" w:rsidR="00973A99" w:rsidRPr="00973A99" w:rsidRDefault="00973A99" w:rsidP="00973A99">
            <w:pPr>
              <w:widowControl/>
              <w:overflowPunct/>
              <w:autoSpaceDE/>
              <w:autoSpaceDN/>
              <w:adjustRightInd/>
              <w:rPr>
                <w:color w:val="000000"/>
                <w:kern w:val="0"/>
                <w:sz w:val="22"/>
                <w:szCs w:val="22"/>
                <w:lang w:val="lv-LV"/>
              </w:rPr>
            </w:pPr>
            <w:r w:rsidRPr="00973A99">
              <w:rPr>
                <w:color w:val="000000"/>
                <w:kern w:val="0"/>
                <w:sz w:val="22"/>
                <w:szCs w:val="22"/>
                <w:lang w:val="lv-LV"/>
              </w:rPr>
              <w:t>Nesošā karkasa uzstādīšana pirms dēļu seguma ieklāšanas tai skaitā izlīmeņošana</w:t>
            </w:r>
          </w:p>
        </w:tc>
        <w:tc>
          <w:tcPr>
            <w:tcW w:w="2166" w:type="dxa"/>
            <w:tcBorders>
              <w:top w:val="nil"/>
              <w:left w:val="nil"/>
              <w:bottom w:val="single" w:sz="4" w:space="0" w:color="auto"/>
              <w:right w:val="single" w:sz="4" w:space="0" w:color="auto"/>
            </w:tcBorders>
            <w:shd w:val="clear" w:color="auto" w:fill="auto"/>
            <w:noWrap/>
            <w:vAlign w:val="center"/>
            <w:hideMark/>
          </w:tcPr>
          <w:p w14:paraId="2AD4E053" w14:textId="77777777" w:rsidR="00973A99" w:rsidRPr="00973A99" w:rsidRDefault="00973A99" w:rsidP="00973A99">
            <w:pPr>
              <w:widowControl/>
              <w:overflowPunct/>
              <w:autoSpaceDE/>
              <w:autoSpaceDN/>
              <w:adjustRightInd/>
              <w:jc w:val="center"/>
              <w:rPr>
                <w:color w:val="000000"/>
                <w:kern w:val="0"/>
                <w:sz w:val="22"/>
                <w:szCs w:val="22"/>
                <w:lang w:val="lv-LV"/>
              </w:rPr>
            </w:pPr>
            <w:r w:rsidRPr="00973A99">
              <w:rPr>
                <w:color w:val="000000"/>
                <w:kern w:val="0"/>
                <w:sz w:val="22"/>
                <w:szCs w:val="22"/>
                <w:lang w:val="lv-LV"/>
              </w:rPr>
              <w:t>m2</w:t>
            </w:r>
          </w:p>
        </w:tc>
        <w:tc>
          <w:tcPr>
            <w:tcW w:w="1228" w:type="dxa"/>
            <w:tcBorders>
              <w:top w:val="nil"/>
              <w:left w:val="nil"/>
              <w:bottom w:val="single" w:sz="4" w:space="0" w:color="auto"/>
              <w:right w:val="single" w:sz="4" w:space="0" w:color="auto"/>
            </w:tcBorders>
            <w:shd w:val="clear" w:color="auto" w:fill="auto"/>
            <w:noWrap/>
            <w:vAlign w:val="bottom"/>
            <w:hideMark/>
          </w:tcPr>
          <w:p w14:paraId="43AEAB1E" w14:textId="77777777" w:rsidR="00973A99" w:rsidRPr="00973A99" w:rsidRDefault="00973A99" w:rsidP="00973A99">
            <w:pPr>
              <w:widowControl/>
              <w:overflowPunct/>
              <w:autoSpaceDE/>
              <w:autoSpaceDN/>
              <w:adjustRightInd/>
              <w:jc w:val="center"/>
              <w:rPr>
                <w:color w:val="000000"/>
                <w:kern w:val="0"/>
                <w:sz w:val="22"/>
                <w:szCs w:val="22"/>
                <w:lang w:val="lv-LV"/>
              </w:rPr>
            </w:pPr>
            <w:r w:rsidRPr="00973A99">
              <w:rPr>
                <w:color w:val="000000"/>
                <w:kern w:val="0"/>
                <w:sz w:val="22"/>
                <w:szCs w:val="22"/>
                <w:lang w:val="lv-LV"/>
              </w:rPr>
              <w:t>110</w:t>
            </w:r>
          </w:p>
        </w:tc>
        <w:tc>
          <w:tcPr>
            <w:tcW w:w="222" w:type="dxa"/>
            <w:vAlign w:val="center"/>
            <w:hideMark/>
          </w:tcPr>
          <w:p w14:paraId="1EE76502" w14:textId="77777777" w:rsidR="00973A99" w:rsidRPr="00973A99" w:rsidRDefault="00973A99" w:rsidP="00973A99">
            <w:pPr>
              <w:widowControl/>
              <w:overflowPunct/>
              <w:autoSpaceDE/>
              <w:autoSpaceDN/>
              <w:adjustRightInd/>
              <w:rPr>
                <w:kern w:val="0"/>
                <w:sz w:val="22"/>
                <w:szCs w:val="22"/>
                <w:lang w:val="lv-LV"/>
              </w:rPr>
            </w:pPr>
          </w:p>
        </w:tc>
      </w:tr>
      <w:tr w:rsidR="00973A99" w:rsidRPr="00973A99" w14:paraId="27117423" w14:textId="77777777" w:rsidTr="00973A99">
        <w:trPr>
          <w:trHeight w:val="288"/>
        </w:trPr>
        <w:tc>
          <w:tcPr>
            <w:tcW w:w="83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37B09A" w14:textId="77777777" w:rsidR="00973A99" w:rsidRPr="00973A99" w:rsidRDefault="00973A99" w:rsidP="00973A99">
            <w:pPr>
              <w:widowControl/>
              <w:overflowPunct/>
              <w:autoSpaceDE/>
              <w:autoSpaceDN/>
              <w:adjustRightInd/>
              <w:jc w:val="center"/>
              <w:rPr>
                <w:color w:val="000000"/>
                <w:kern w:val="0"/>
                <w:sz w:val="22"/>
                <w:szCs w:val="22"/>
                <w:lang w:val="lv-LV"/>
              </w:rPr>
            </w:pPr>
            <w:r w:rsidRPr="00973A99">
              <w:rPr>
                <w:color w:val="000000"/>
                <w:kern w:val="0"/>
                <w:sz w:val="22"/>
                <w:szCs w:val="22"/>
                <w:lang w:val="lv-LV"/>
              </w:rPr>
              <w:t>2.2.</w:t>
            </w:r>
          </w:p>
        </w:tc>
        <w:tc>
          <w:tcPr>
            <w:tcW w:w="4401" w:type="dxa"/>
            <w:tcBorders>
              <w:top w:val="nil"/>
              <w:left w:val="nil"/>
              <w:bottom w:val="single" w:sz="4" w:space="0" w:color="auto"/>
              <w:right w:val="single" w:sz="4" w:space="0" w:color="auto"/>
            </w:tcBorders>
            <w:shd w:val="clear" w:color="auto" w:fill="auto"/>
            <w:noWrap/>
            <w:vAlign w:val="bottom"/>
            <w:hideMark/>
          </w:tcPr>
          <w:p w14:paraId="1A7EE79A" w14:textId="77777777" w:rsidR="00973A99" w:rsidRPr="00973A99" w:rsidRDefault="00973A99" w:rsidP="00973A99">
            <w:pPr>
              <w:widowControl/>
              <w:overflowPunct/>
              <w:autoSpaceDE/>
              <w:autoSpaceDN/>
              <w:adjustRightInd/>
              <w:rPr>
                <w:color w:val="000000"/>
                <w:kern w:val="0"/>
                <w:sz w:val="22"/>
                <w:szCs w:val="22"/>
                <w:lang w:val="lv-LV"/>
              </w:rPr>
            </w:pPr>
            <w:r w:rsidRPr="00973A99">
              <w:rPr>
                <w:color w:val="000000"/>
                <w:kern w:val="0"/>
                <w:sz w:val="22"/>
                <w:szCs w:val="22"/>
                <w:lang w:val="lv-LV"/>
              </w:rPr>
              <w:t>Nesošā karkasa apstrāde ar antiseptiķi</w:t>
            </w:r>
          </w:p>
        </w:tc>
        <w:tc>
          <w:tcPr>
            <w:tcW w:w="2166" w:type="dxa"/>
            <w:tcBorders>
              <w:top w:val="nil"/>
              <w:left w:val="nil"/>
              <w:bottom w:val="single" w:sz="4" w:space="0" w:color="auto"/>
              <w:right w:val="single" w:sz="4" w:space="0" w:color="auto"/>
            </w:tcBorders>
            <w:shd w:val="clear" w:color="auto" w:fill="auto"/>
            <w:noWrap/>
            <w:vAlign w:val="center"/>
            <w:hideMark/>
          </w:tcPr>
          <w:p w14:paraId="1187C8C1" w14:textId="77777777" w:rsidR="00973A99" w:rsidRPr="00973A99" w:rsidRDefault="00973A99" w:rsidP="00973A99">
            <w:pPr>
              <w:widowControl/>
              <w:overflowPunct/>
              <w:autoSpaceDE/>
              <w:autoSpaceDN/>
              <w:adjustRightInd/>
              <w:jc w:val="center"/>
              <w:rPr>
                <w:color w:val="000000"/>
                <w:kern w:val="0"/>
                <w:sz w:val="22"/>
                <w:szCs w:val="22"/>
                <w:lang w:val="lv-LV"/>
              </w:rPr>
            </w:pPr>
            <w:r w:rsidRPr="00973A99">
              <w:rPr>
                <w:color w:val="000000"/>
                <w:kern w:val="0"/>
                <w:sz w:val="22"/>
                <w:szCs w:val="22"/>
                <w:lang w:val="lv-LV"/>
              </w:rPr>
              <w:t>m2</w:t>
            </w:r>
          </w:p>
        </w:tc>
        <w:tc>
          <w:tcPr>
            <w:tcW w:w="1228" w:type="dxa"/>
            <w:tcBorders>
              <w:top w:val="nil"/>
              <w:left w:val="nil"/>
              <w:bottom w:val="single" w:sz="4" w:space="0" w:color="auto"/>
              <w:right w:val="single" w:sz="4" w:space="0" w:color="auto"/>
            </w:tcBorders>
            <w:shd w:val="clear" w:color="auto" w:fill="auto"/>
            <w:noWrap/>
            <w:vAlign w:val="bottom"/>
            <w:hideMark/>
          </w:tcPr>
          <w:p w14:paraId="212D445F" w14:textId="77777777" w:rsidR="00973A99" w:rsidRPr="00973A99" w:rsidRDefault="00973A99" w:rsidP="00973A99">
            <w:pPr>
              <w:widowControl/>
              <w:overflowPunct/>
              <w:autoSpaceDE/>
              <w:autoSpaceDN/>
              <w:adjustRightInd/>
              <w:jc w:val="center"/>
              <w:rPr>
                <w:color w:val="000000"/>
                <w:kern w:val="0"/>
                <w:sz w:val="22"/>
                <w:szCs w:val="22"/>
                <w:lang w:val="lv-LV"/>
              </w:rPr>
            </w:pPr>
            <w:r w:rsidRPr="00973A99">
              <w:rPr>
                <w:color w:val="000000"/>
                <w:kern w:val="0"/>
                <w:sz w:val="22"/>
                <w:szCs w:val="22"/>
                <w:lang w:val="lv-LV"/>
              </w:rPr>
              <w:t>110</w:t>
            </w:r>
          </w:p>
        </w:tc>
        <w:tc>
          <w:tcPr>
            <w:tcW w:w="222" w:type="dxa"/>
            <w:vAlign w:val="center"/>
            <w:hideMark/>
          </w:tcPr>
          <w:p w14:paraId="60A4A316" w14:textId="77777777" w:rsidR="00973A99" w:rsidRPr="00973A99" w:rsidRDefault="00973A99" w:rsidP="00973A99">
            <w:pPr>
              <w:widowControl/>
              <w:overflowPunct/>
              <w:autoSpaceDE/>
              <w:autoSpaceDN/>
              <w:adjustRightInd/>
              <w:rPr>
                <w:kern w:val="0"/>
                <w:sz w:val="22"/>
                <w:szCs w:val="22"/>
                <w:lang w:val="lv-LV"/>
              </w:rPr>
            </w:pPr>
          </w:p>
        </w:tc>
      </w:tr>
      <w:tr w:rsidR="00973A99" w:rsidRPr="00973A99" w14:paraId="14D09916" w14:textId="77777777" w:rsidTr="00973A99">
        <w:trPr>
          <w:trHeight w:val="540"/>
        </w:trPr>
        <w:tc>
          <w:tcPr>
            <w:tcW w:w="83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3A120D4" w14:textId="77777777" w:rsidR="00973A99" w:rsidRPr="00973A99" w:rsidRDefault="00973A99" w:rsidP="00973A99">
            <w:pPr>
              <w:widowControl/>
              <w:overflowPunct/>
              <w:autoSpaceDE/>
              <w:autoSpaceDN/>
              <w:adjustRightInd/>
              <w:jc w:val="center"/>
              <w:rPr>
                <w:color w:val="000000"/>
                <w:kern w:val="0"/>
                <w:sz w:val="22"/>
                <w:szCs w:val="22"/>
                <w:lang w:val="lv-LV"/>
              </w:rPr>
            </w:pPr>
            <w:r w:rsidRPr="00973A99">
              <w:rPr>
                <w:color w:val="000000"/>
                <w:kern w:val="0"/>
                <w:sz w:val="22"/>
                <w:szCs w:val="22"/>
                <w:lang w:val="lv-LV"/>
              </w:rPr>
              <w:t>2.3.</w:t>
            </w:r>
          </w:p>
        </w:tc>
        <w:tc>
          <w:tcPr>
            <w:tcW w:w="4401" w:type="dxa"/>
            <w:tcBorders>
              <w:top w:val="nil"/>
              <w:left w:val="nil"/>
              <w:bottom w:val="single" w:sz="4" w:space="0" w:color="auto"/>
              <w:right w:val="single" w:sz="4" w:space="0" w:color="auto"/>
            </w:tcBorders>
            <w:shd w:val="clear" w:color="auto" w:fill="auto"/>
            <w:vAlign w:val="bottom"/>
            <w:hideMark/>
          </w:tcPr>
          <w:p w14:paraId="3775551C" w14:textId="2B112371" w:rsidR="00973A99" w:rsidRPr="00973A99" w:rsidRDefault="00973A99" w:rsidP="00973A99">
            <w:pPr>
              <w:widowControl/>
              <w:overflowPunct/>
              <w:autoSpaceDE/>
              <w:autoSpaceDN/>
              <w:adjustRightInd/>
              <w:rPr>
                <w:color w:val="000000"/>
                <w:kern w:val="0"/>
                <w:sz w:val="22"/>
                <w:szCs w:val="22"/>
                <w:lang w:val="lv-LV"/>
              </w:rPr>
            </w:pPr>
            <w:r w:rsidRPr="00973A99">
              <w:rPr>
                <w:color w:val="000000"/>
                <w:kern w:val="0"/>
                <w:sz w:val="22"/>
                <w:szCs w:val="22"/>
                <w:lang w:val="lv-LV"/>
              </w:rPr>
              <w:t xml:space="preserve">Dēļu seguma ieklāšana t.sk. palīgmateriāli, skrūves. </w:t>
            </w:r>
            <w:r w:rsidR="00FC3576">
              <w:rPr>
                <w:color w:val="000000"/>
                <w:kern w:val="0"/>
                <w:sz w:val="22"/>
                <w:szCs w:val="22"/>
                <w:lang w:val="lv-LV"/>
              </w:rPr>
              <w:t>Dēļi deju grīdai</w:t>
            </w:r>
            <w:r w:rsidRPr="00973A99">
              <w:rPr>
                <w:color w:val="000000"/>
                <w:kern w:val="0"/>
                <w:sz w:val="22"/>
                <w:szCs w:val="22"/>
                <w:lang w:val="lv-LV"/>
              </w:rPr>
              <w:t xml:space="preserve"> </w:t>
            </w:r>
            <w:r w:rsidR="00FC3576">
              <w:rPr>
                <w:color w:val="000000"/>
                <w:kern w:val="0"/>
                <w:sz w:val="22"/>
                <w:szCs w:val="22"/>
                <w:lang w:val="lv-LV"/>
              </w:rPr>
              <w:t>5</w:t>
            </w:r>
            <w:r w:rsidRPr="00973A99">
              <w:rPr>
                <w:color w:val="000000"/>
                <w:kern w:val="0"/>
                <w:sz w:val="22"/>
                <w:szCs w:val="22"/>
                <w:lang w:val="lv-LV"/>
              </w:rPr>
              <w:t xml:space="preserve">0mm </w:t>
            </w:r>
          </w:p>
        </w:tc>
        <w:tc>
          <w:tcPr>
            <w:tcW w:w="2166" w:type="dxa"/>
            <w:tcBorders>
              <w:top w:val="nil"/>
              <w:left w:val="nil"/>
              <w:bottom w:val="single" w:sz="4" w:space="0" w:color="auto"/>
              <w:right w:val="single" w:sz="4" w:space="0" w:color="auto"/>
            </w:tcBorders>
            <w:shd w:val="clear" w:color="auto" w:fill="auto"/>
            <w:noWrap/>
            <w:vAlign w:val="center"/>
            <w:hideMark/>
          </w:tcPr>
          <w:p w14:paraId="2B4EE2D2" w14:textId="77777777" w:rsidR="00973A99" w:rsidRPr="00973A99" w:rsidRDefault="00973A99" w:rsidP="00973A99">
            <w:pPr>
              <w:widowControl/>
              <w:overflowPunct/>
              <w:autoSpaceDE/>
              <w:autoSpaceDN/>
              <w:adjustRightInd/>
              <w:jc w:val="center"/>
              <w:rPr>
                <w:color w:val="000000"/>
                <w:kern w:val="0"/>
                <w:sz w:val="22"/>
                <w:szCs w:val="22"/>
                <w:lang w:val="lv-LV"/>
              </w:rPr>
            </w:pPr>
            <w:r w:rsidRPr="00973A99">
              <w:rPr>
                <w:color w:val="000000"/>
                <w:kern w:val="0"/>
                <w:sz w:val="22"/>
                <w:szCs w:val="22"/>
                <w:lang w:val="lv-LV"/>
              </w:rPr>
              <w:t>m3</w:t>
            </w:r>
          </w:p>
        </w:tc>
        <w:tc>
          <w:tcPr>
            <w:tcW w:w="1228" w:type="dxa"/>
            <w:tcBorders>
              <w:top w:val="nil"/>
              <w:left w:val="nil"/>
              <w:bottom w:val="single" w:sz="4" w:space="0" w:color="auto"/>
              <w:right w:val="single" w:sz="4" w:space="0" w:color="auto"/>
            </w:tcBorders>
            <w:shd w:val="clear" w:color="auto" w:fill="auto"/>
            <w:noWrap/>
            <w:vAlign w:val="center"/>
            <w:hideMark/>
          </w:tcPr>
          <w:p w14:paraId="0C606F5A" w14:textId="74A023A3" w:rsidR="00973A99" w:rsidRPr="00973A99" w:rsidRDefault="00FC3576" w:rsidP="00973A99">
            <w:pPr>
              <w:widowControl/>
              <w:overflowPunct/>
              <w:autoSpaceDE/>
              <w:autoSpaceDN/>
              <w:adjustRightInd/>
              <w:jc w:val="center"/>
              <w:rPr>
                <w:color w:val="000000"/>
                <w:kern w:val="0"/>
                <w:sz w:val="22"/>
                <w:szCs w:val="22"/>
                <w:lang w:val="lv-LV"/>
              </w:rPr>
            </w:pPr>
            <w:r>
              <w:rPr>
                <w:color w:val="000000"/>
                <w:kern w:val="0"/>
                <w:sz w:val="22"/>
                <w:szCs w:val="22"/>
                <w:lang w:val="lv-LV"/>
              </w:rPr>
              <w:t>5</w:t>
            </w:r>
            <w:r w:rsidR="00973A99" w:rsidRPr="00973A99">
              <w:rPr>
                <w:color w:val="000000"/>
                <w:kern w:val="0"/>
                <w:sz w:val="22"/>
                <w:szCs w:val="22"/>
                <w:lang w:val="lv-LV"/>
              </w:rPr>
              <w:t>,4</w:t>
            </w:r>
          </w:p>
        </w:tc>
        <w:tc>
          <w:tcPr>
            <w:tcW w:w="222" w:type="dxa"/>
            <w:vAlign w:val="center"/>
            <w:hideMark/>
          </w:tcPr>
          <w:p w14:paraId="6A9C9A19" w14:textId="77777777" w:rsidR="00973A99" w:rsidRPr="00973A99" w:rsidRDefault="00973A99" w:rsidP="00973A99">
            <w:pPr>
              <w:widowControl/>
              <w:overflowPunct/>
              <w:autoSpaceDE/>
              <w:autoSpaceDN/>
              <w:adjustRightInd/>
              <w:rPr>
                <w:kern w:val="0"/>
                <w:sz w:val="22"/>
                <w:szCs w:val="22"/>
                <w:lang w:val="lv-LV"/>
              </w:rPr>
            </w:pPr>
          </w:p>
        </w:tc>
      </w:tr>
      <w:tr w:rsidR="00973A99" w:rsidRPr="00973A99" w14:paraId="3FFE367C" w14:textId="77777777" w:rsidTr="00973A99">
        <w:trPr>
          <w:trHeight w:val="288"/>
        </w:trPr>
        <w:tc>
          <w:tcPr>
            <w:tcW w:w="83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18D98F7" w14:textId="77777777" w:rsidR="00973A99" w:rsidRPr="00973A99" w:rsidRDefault="00973A99" w:rsidP="00973A99">
            <w:pPr>
              <w:widowControl/>
              <w:overflowPunct/>
              <w:autoSpaceDE/>
              <w:autoSpaceDN/>
              <w:adjustRightInd/>
              <w:jc w:val="center"/>
              <w:rPr>
                <w:color w:val="000000"/>
                <w:kern w:val="0"/>
                <w:sz w:val="22"/>
                <w:szCs w:val="22"/>
                <w:lang w:val="lv-LV"/>
              </w:rPr>
            </w:pPr>
            <w:r w:rsidRPr="00973A99">
              <w:rPr>
                <w:color w:val="000000"/>
                <w:kern w:val="0"/>
                <w:sz w:val="22"/>
                <w:szCs w:val="22"/>
                <w:lang w:val="lv-LV"/>
              </w:rPr>
              <w:t>2.4.</w:t>
            </w:r>
          </w:p>
        </w:tc>
        <w:tc>
          <w:tcPr>
            <w:tcW w:w="4401" w:type="dxa"/>
            <w:tcBorders>
              <w:top w:val="nil"/>
              <w:left w:val="nil"/>
              <w:bottom w:val="single" w:sz="4" w:space="0" w:color="auto"/>
              <w:right w:val="single" w:sz="4" w:space="0" w:color="auto"/>
            </w:tcBorders>
            <w:shd w:val="clear" w:color="auto" w:fill="auto"/>
            <w:noWrap/>
            <w:vAlign w:val="bottom"/>
            <w:hideMark/>
          </w:tcPr>
          <w:p w14:paraId="50320981" w14:textId="77777777" w:rsidR="00973A99" w:rsidRPr="00973A99" w:rsidRDefault="00973A99" w:rsidP="00973A99">
            <w:pPr>
              <w:widowControl/>
              <w:overflowPunct/>
              <w:autoSpaceDE/>
              <w:autoSpaceDN/>
              <w:adjustRightInd/>
              <w:rPr>
                <w:color w:val="000000"/>
                <w:kern w:val="0"/>
                <w:sz w:val="22"/>
                <w:szCs w:val="22"/>
                <w:lang w:val="lv-LV"/>
              </w:rPr>
            </w:pPr>
            <w:r w:rsidRPr="00973A99">
              <w:rPr>
                <w:color w:val="000000"/>
                <w:kern w:val="0"/>
                <w:sz w:val="22"/>
                <w:szCs w:val="22"/>
                <w:lang w:val="lv-LV"/>
              </w:rPr>
              <w:t>Dēļu seguma krāsošana divas reizes.</w:t>
            </w:r>
          </w:p>
        </w:tc>
        <w:tc>
          <w:tcPr>
            <w:tcW w:w="2166" w:type="dxa"/>
            <w:tcBorders>
              <w:top w:val="nil"/>
              <w:left w:val="nil"/>
              <w:bottom w:val="single" w:sz="4" w:space="0" w:color="auto"/>
              <w:right w:val="single" w:sz="4" w:space="0" w:color="auto"/>
            </w:tcBorders>
            <w:shd w:val="clear" w:color="auto" w:fill="auto"/>
            <w:noWrap/>
            <w:vAlign w:val="bottom"/>
            <w:hideMark/>
          </w:tcPr>
          <w:p w14:paraId="2AA38889" w14:textId="77777777" w:rsidR="00973A99" w:rsidRPr="00973A99" w:rsidRDefault="00973A99" w:rsidP="00973A99">
            <w:pPr>
              <w:widowControl/>
              <w:overflowPunct/>
              <w:autoSpaceDE/>
              <w:autoSpaceDN/>
              <w:adjustRightInd/>
              <w:jc w:val="center"/>
              <w:rPr>
                <w:color w:val="000000"/>
                <w:kern w:val="0"/>
                <w:sz w:val="22"/>
                <w:szCs w:val="22"/>
                <w:lang w:val="lv-LV"/>
              </w:rPr>
            </w:pPr>
            <w:r w:rsidRPr="00973A99">
              <w:rPr>
                <w:color w:val="000000"/>
                <w:kern w:val="0"/>
                <w:sz w:val="22"/>
                <w:szCs w:val="22"/>
                <w:lang w:val="lv-LV"/>
              </w:rPr>
              <w:t>m2</w:t>
            </w:r>
          </w:p>
        </w:tc>
        <w:tc>
          <w:tcPr>
            <w:tcW w:w="1228" w:type="dxa"/>
            <w:tcBorders>
              <w:top w:val="nil"/>
              <w:left w:val="nil"/>
              <w:bottom w:val="single" w:sz="4" w:space="0" w:color="auto"/>
              <w:right w:val="single" w:sz="4" w:space="0" w:color="auto"/>
            </w:tcBorders>
            <w:shd w:val="clear" w:color="auto" w:fill="auto"/>
            <w:noWrap/>
            <w:vAlign w:val="bottom"/>
            <w:hideMark/>
          </w:tcPr>
          <w:p w14:paraId="5EB9AE1C" w14:textId="77777777" w:rsidR="00973A99" w:rsidRPr="00973A99" w:rsidRDefault="00973A99" w:rsidP="00973A99">
            <w:pPr>
              <w:widowControl/>
              <w:overflowPunct/>
              <w:autoSpaceDE/>
              <w:autoSpaceDN/>
              <w:adjustRightInd/>
              <w:jc w:val="center"/>
              <w:rPr>
                <w:color w:val="000000"/>
                <w:kern w:val="0"/>
                <w:sz w:val="22"/>
                <w:szCs w:val="22"/>
                <w:lang w:val="lv-LV"/>
              </w:rPr>
            </w:pPr>
            <w:r w:rsidRPr="00973A99">
              <w:rPr>
                <w:color w:val="000000"/>
                <w:kern w:val="0"/>
                <w:sz w:val="22"/>
                <w:szCs w:val="22"/>
                <w:lang w:val="lv-LV"/>
              </w:rPr>
              <w:t>110</w:t>
            </w:r>
          </w:p>
        </w:tc>
        <w:tc>
          <w:tcPr>
            <w:tcW w:w="222" w:type="dxa"/>
            <w:vAlign w:val="center"/>
            <w:hideMark/>
          </w:tcPr>
          <w:p w14:paraId="145946CF" w14:textId="77777777" w:rsidR="00973A99" w:rsidRPr="00973A99" w:rsidRDefault="00973A99" w:rsidP="00973A99">
            <w:pPr>
              <w:widowControl/>
              <w:overflowPunct/>
              <w:autoSpaceDE/>
              <w:autoSpaceDN/>
              <w:adjustRightInd/>
              <w:rPr>
                <w:kern w:val="0"/>
                <w:sz w:val="22"/>
                <w:szCs w:val="22"/>
                <w:lang w:val="lv-LV"/>
              </w:rPr>
            </w:pPr>
          </w:p>
        </w:tc>
      </w:tr>
      <w:tr w:rsidR="00973A99" w:rsidRPr="00973A99" w14:paraId="570AEAA2" w14:textId="77777777" w:rsidTr="00973A99">
        <w:trPr>
          <w:gridAfter w:val="5"/>
          <w:wAfter w:w="8634" w:type="dxa"/>
          <w:trHeight w:val="288"/>
        </w:trPr>
        <w:tc>
          <w:tcPr>
            <w:tcW w:w="222" w:type="dxa"/>
            <w:vAlign w:val="center"/>
            <w:hideMark/>
          </w:tcPr>
          <w:p w14:paraId="167D113C" w14:textId="77777777" w:rsidR="00973A99" w:rsidRPr="00973A99" w:rsidRDefault="00973A99" w:rsidP="00973A99">
            <w:pPr>
              <w:widowControl/>
              <w:overflowPunct/>
              <w:autoSpaceDE/>
              <w:autoSpaceDN/>
              <w:adjustRightInd/>
              <w:rPr>
                <w:kern w:val="0"/>
                <w:sz w:val="22"/>
                <w:szCs w:val="22"/>
                <w:lang w:val="lv-LV"/>
              </w:rPr>
            </w:pPr>
          </w:p>
        </w:tc>
      </w:tr>
    </w:tbl>
    <w:p w14:paraId="58D83FC3" w14:textId="77777777" w:rsidR="00923F67" w:rsidRPr="00973A99" w:rsidRDefault="00923F67" w:rsidP="00923F67">
      <w:pPr>
        <w:widowControl/>
        <w:overflowPunct/>
        <w:autoSpaceDE/>
        <w:adjustRightInd/>
        <w:spacing w:after="200" w:line="276" w:lineRule="auto"/>
        <w:jc w:val="both"/>
        <w:rPr>
          <w:b/>
          <w:bCs/>
          <w:iCs/>
          <w:sz w:val="22"/>
          <w:szCs w:val="22"/>
          <w:lang w:val="lv-LV"/>
        </w:rPr>
      </w:pPr>
    </w:p>
    <w:p w14:paraId="7B12FFCA" w14:textId="77777777" w:rsidR="00923F67" w:rsidRPr="00973A99" w:rsidRDefault="00923F67" w:rsidP="00923F67">
      <w:pPr>
        <w:widowControl/>
        <w:overflowPunct/>
        <w:autoSpaceDE/>
        <w:adjustRightInd/>
        <w:spacing w:after="200" w:line="276" w:lineRule="auto"/>
        <w:jc w:val="both"/>
        <w:rPr>
          <w:b/>
          <w:bCs/>
          <w:iCs/>
          <w:sz w:val="22"/>
          <w:szCs w:val="22"/>
          <w:lang w:val="lv-LV"/>
        </w:rPr>
      </w:pPr>
    </w:p>
    <w:tbl>
      <w:tblPr>
        <w:tblW w:w="7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7"/>
        <w:gridCol w:w="3608"/>
      </w:tblGrid>
      <w:tr w:rsidR="00923F67" w:rsidRPr="00973A99" w14:paraId="7127233D" w14:textId="77777777" w:rsidTr="00F045BA">
        <w:trPr>
          <w:trHeight w:val="179"/>
        </w:trPr>
        <w:tc>
          <w:tcPr>
            <w:tcW w:w="3695" w:type="dxa"/>
            <w:tcBorders>
              <w:top w:val="single" w:sz="4" w:space="0" w:color="auto"/>
              <w:left w:val="single" w:sz="4" w:space="0" w:color="auto"/>
              <w:bottom w:val="single" w:sz="4" w:space="0" w:color="auto"/>
              <w:right w:val="single" w:sz="4" w:space="0" w:color="auto"/>
            </w:tcBorders>
            <w:vAlign w:val="center"/>
            <w:hideMark/>
          </w:tcPr>
          <w:p w14:paraId="22EBF46D" w14:textId="77777777" w:rsidR="00923F67" w:rsidRPr="00973A99" w:rsidRDefault="00923F67">
            <w:pPr>
              <w:tabs>
                <w:tab w:val="left" w:pos="540"/>
              </w:tabs>
              <w:spacing w:line="276" w:lineRule="auto"/>
              <w:rPr>
                <w:b/>
                <w:sz w:val="22"/>
                <w:szCs w:val="22"/>
                <w:lang w:val="lv-LV" w:eastAsia="en-US"/>
              </w:rPr>
            </w:pPr>
            <w:r w:rsidRPr="00973A99">
              <w:rPr>
                <w:b/>
                <w:sz w:val="22"/>
                <w:szCs w:val="22"/>
                <w:lang w:val="lv-LV" w:eastAsia="en-US"/>
              </w:rPr>
              <w:t>Pretendenta nosaukums:</w:t>
            </w:r>
          </w:p>
        </w:tc>
        <w:tc>
          <w:tcPr>
            <w:tcW w:w="3607" w:type="dxa"/>
            <w:tcBorders>
              <w:top w:val="single" w:sz="4" w:space="0" w:color="auto"/>
              <w:left w:val="single" w:sz="4" w:space="0" w:color="auto"/>
              <w:bottom w:val="single" w:sz="4" w:space="0" w:color="auto"/>
              <w:right w:val="single" w:sz="4" w:space="0" w:color="auto"/>
            </w:tcBorders>
          </w:tcPr>
          <w:p w14:paraId="510CBFCE" w14:textId="77777777" w:rsidR="00923F67" w:rsidRPr="00973A99" w:rsidRDefault="00923F67">
            <w:pPr>
              <w:tabs>
                <w:tab w:val="left" w:pos="540"/>
              </w:tabs>
              <w:spacing w:line="276" w:lineRule="auto"/>
              <w:rPr>
                <w:b/>
                <w:sz w:val="22"/>
                <w:szCs w:val="22"/>
                <w:lang w:val="lv-LV" w:eastAsia="en-US"/>
              </w:rPr>
            </w:pPr>
          </w:p>
        </w:tc>
      </w:tr>
      <w:tr w:rsidR="00923F67" w:rsidRPr="00973A99" w14:paraId="52457254" w14:textId="77777777" w:rsidTr="00F045BA">
        <w:trPr>
          <w:trHeight w:val="161"/>
        </w:trPr>
        <w:tc>
          <w:tcPr>
            <w:tcW w:w="3695" w:type="dxa"/>
            <w:tcBorders>
              <w:top w:val="single" w:sz="4" w:space="0" w:color="auto"/>
              <w:left w:val="single" w:sz="4" w:space="0" w:color="auto"/>
              <w:bottom w:val="single" w:sz="4" w:space="0" w:color="auto"/>
              <w:right w:val="single" w:sz="4" w:space="0" w:color="auto"/>
            </w:tcBorders>
            <w:vAlign w:val="center"/>
            <w:hideMark/>
          </w:tcPr>
          <w:p w14:paraId="057FE076" w14:textId="77777777" w:rsidR="00923F67" w:rsidRPr="00973A99" w:rsidRDefault="00923F67">
            <w:pPr>
              <w:tabs>
                <w:tab w:val="left" w:pos="540"/>
              </w:tabs>
              <w:spacing w:line="276" w:lineRule="auto"/>
              <w:rPr>
                <w:b/>
                <w:sz w:val="22"/>
                <w:szCs w:val="22"/>
                <w:lang w:val="lv-LV" w:eastAsia="en-US"/>
              </w:rPr>
            </w:pPr>
            <w:r w:rsidRPr="00973A99">
              <w:rPr>
                <w:b/>
                <w:sz w:val="22"/>
                <w:szCs w:val="22"/>
                <w:lang w:val="lv-LV" w:eastAsia="en-US"/>
              </w:rPr>
              <w:t>Amatpersonas vārds, uzvārds:</w:t>
            </w:r>
          </w:p>
        </w:tc>
        <w:tc>
          <w:tcPr>
            <w:tcW w:w="3607" w:type="dxa"/>
            <w:tcBorders>
              <w:top w:val="single" w:sz="4" w:space="0" w:color="auto"/>
              <w:left w:val="single" w:sz="4" w:space="0" w:color="auto"/>
              <w:bottom w:val="single" w:sz="4" w:space="0" w:color="auto"/>
              <w:right w:val="single" w:sz="4" w:space="0" w:color="auto"/>
            </w:tcBorders>
          </w:tcPr>
          <w:p w14:paraId="15D2C7BE" w14:textId="77777777" w:rsidR="00923F67" w:rsidRPr="00973A99" w:rsidRDefault="00923F67">
            <w:pPr>
              <w:tabs>
                <w:tab w:val="left" w:pos="540"/>
              </w:tabs>
              <w:spacing w:line="276" w:lineRule="auto"/>
              <w:rPr>
                <w:b/>
                <w:sz w:val="22"/>
                <w:szCs w:val="22"/>
                <w:lang w:val="lv-LV" w:eastAsia="en-US"/>
              </w:rPr>
            </w:pPr>
          </w:p>
        </w:tc>
      </w:tr>
      <w:tr w:rsidR="00923F67" w:rsidRPr="00973A99" w14:paraId="51D2F31C" w14:textId="77777777" w:rsidTr="00F045BA">
        <w:trPr>
          <w:trHeight w:val="415"/>
        </w:trPr>
        <w:tc>
          <w:tcPr>
            <w:tcW w:w="3695" w:type="dxa"/>
            <w:tcBorders>
              <w:top w:val="single" w:sz="4" w:space="0" w:color="auto"/>
              <w:left w:val="single" w:sz="4" w:space="0" w:color="auto"/>
              <w:bottom w:val="single" w:sz="4" w:space="0" w:color="auto"/>
              <w:right w:val="single" w:sz="4" w:space="0" w:color="auto"/>
            </w:tcBorders>
            <w:vAlign w:val="center"/>
            <w:hideMark/>
          </w:tcPr>
          <w:p w14:paraId="4D3FE418" w14:textId="77777777" w:rsidR="00923F67" w:rsidRPr="00973A99" w:rsidRDefault="00923F67">
            <w:pPr>
              <w:tabs>
                <w:tab w:val="left" w:pos="540"/>
              </w:tabs>
              <w:spacing w:line="276" w:lineRule="auto"/>
              <w:rPr>
                <w:b/>
                <w:sz w:val="22"/>
                <w:szCs w:val="22"/>
                <w:lang w:val="lv-LV" w:eastAsia="en-US"/>
              </w:rPr>
            </w:pPr>
            <w:r w:rsidRPr="00973A99">
              <w:rPr>
                <w:b/>
                <w:sz w:val="22"/>
                <w:szCs w:val="22"/>
                <w:lang w:val="lv-LV" w:eastAsia="en-US"/>
              </w:rPr>
              <w:t>Ieņemamā amata nosaukums:</w:t>
            </w:r>
          </w:p>
        </w:tc>
        <w:tc>
          <w:tcPr>
            <w:tcW w:w="3607" w:type="dxa"/>
            <w:tcBorders>
              <w:top w:val="single" w:sz="4" w:space="0" w:color="auto"/>
              <w:left w:val="single" w:sz="4" w:space="0" w:color="auto"/>
              <w:bottom w:val="single" w:sz="4" w:space="0" w:color="auto"/>
              <w:right w:val="single" w:sz="4" w:space="0" w:color="auto"/>
            </w:tcBorders>
          </w:tcPr>
          <w:p w14:paraId="271E55EB" w14:textId="77777777" w:rsidR="00923F67" w:rsidRPr="00973A99" w:rsidRDefault="00923F67">
            <w:pPr>
              <w:tabs>
                <w:tab w:val="left" w:pos="540"/>
              </w:tabs>
              <w:spacing w:line="276" w:lineRule="auto"/>
              <w:rPr>
                <w:b/>
                <w:sz w:val="22"/>
                <w:szCs w:val="22"/>
                <w:lang w:val="lv-LV" w:eastAsia="en-US"/>
              </w:rPr>
            </w:pPr>
          </w:p>
        </w:tc>
      </w:tr>
      <w:tr w:rsidR="00923F67" w:rsidRPr="00973A99" w14:paraId="0E9BE917" w14:textId="77777777" w:rsidTr="00F045BA">
        <w:trPr>
          <w:trHeight w:val="71"/>
        </w:trPr>
        <w:tc>
          <w:tcPr>
            <w:tcW w:w="3695" w:type="dxa"/>
            <w:tcBorders>
              <w:top w:val="single" w:sz="4" w:space="0" w:color="auto"/>
              <w:left w:val="single" w:sz="4" w:space="0" w:color="auto"/>
              <w:bottom w:val="single" w:sz="4" w:space="0" w:color="auto"/>
              <w:right w:val="single" w:sz="4" w:space="0" w:color="auto"/>
            </w:tcBorders>
            <w:vAlign w:val="center"/>
            <w:hideMark/>
          </w:tcPr>
          <w:p w14:paraId="24C551BD" w14:textId="77777777" w:rsidR="00923F67" w:rsidRPr="00973A99" w:rsidRDefault="00923F67">
            <w:pPr>
              <w:tabs>
                <w:tab w:val="left" w:pos="540"/>
              </w:tabs>
              <w:spacing w:line="276" w:lineRule="auto"/>
              <w:rPr>
                <w:b/>
                <w:sz w:val="22"/>
                <w:szCs w:val="22"/>
                <w:lang w:val="lv-LV" w:eastAsia="en-US"/>
              </w:rPr>
            </w:pPr>
            <w:r w:rsidRPr="00973A99">
              <w:rPr>
                <w:b/>
                <w:sz w:val="22"/>
                <w:szCs w:val="22"/>
                <w:lang w:val="lv-LV" w:eastAsia="en-US"/>
              </w:rPr>
              <w:t>Amatpersonas paraksts:</w:t>
            </w:r>
          </w:p>
        </w:tc>
        <w:tc>
          <w:tcPr>
            <w:tcW w:w="3607" w:type="dxa"/>
            <w:tcBorders>
              <w:top w:val="single" w:sz="4" w:space="0" w:color="auto"/>
              <w:left w:val="single" w:sz="4" w:space="0" w:color="auto"/>
              <w:bottom w:val="single" w:sz="4" w:space="0" w:color="auto"/>
              <w:right w:val="single" w:sz="4" w:space="0" w:color="auto"/>
            </w:tcBorders>
          </w:tcPr>
          <w:p w14:paraId="40DD8DF6" w14:textId="77777777" w:rsidR="00923F67" w:rsidRPr="00973A99" w:rsidRDefault="00923F67">
            <w:pPr>
              <w:tabs>
                <w:tab w:val="left" w:pos="540"/>
              </w:tabs>
              <w:spacing w:line="276" w:lineRule="auto"/>
              <w:rPr>
                <w:b/>
                <w:sz w:val="22"/>
                <w:szCs w:val="22"/>
                <w:lang w:val="lv-LV" w:eastAsia="en-US"/>
              </w:rPr>
            </w:pPr>
          </w:p>
        </w:tc>
      </w:tr>
    </w:tbl>
    <w:p w14:paraId="0E49DF37" w14:textId="77777777" w:rsidR="00A434A2" w:rsidRPr="00973A99" w:rsidRDefault="00A434A2">
      <w:pPr>
        <w:rPr>
          <w:sz w:val="22"/>
          <w:szCs w:val="22"/>
        </w:rPr>
      </w:pPr>
    </w:p>
    <w:sectPr w:rsidR="00A434A2" w:rsidRPr="00973A99" w:rsidSect="00973A99">
      <w:pgSz w:w="11906" w:h="16838"/>
      <w:pgMar w:top="1440" w:right="1418"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10F59"/>
    <w:multiLevelType w:val="multilevel"/>
    <w:tmpl w:val="18503A1E"/>
    <w:lvl w:ilvl="0">
      <w:start w:val="1"/>
      <w:numFmt w:val="decimal"/>
      <w:lvlText w:val="%1."/>
      <w:lvlJc w:val="left"/>
      <w:pPr>
        <w:tabs>
          <w:tab w:val="num" w:pos="360"/>
        </w:tabs>
        <w:ind w:left="360" w:hanging="360"/>
      </w:pPr>
      <w:rPr>
        <w:rFonts w:ascii="Times New Roman" w:eastAsia="Calibri" w:hAnsi="Times New Roman" w:cs="Times New Roman"/>
        <w:color w:val="auto"/>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F67"/>
    <w:rsid w:val="00923F67"/>
    <w:rsid w:val="00973A99"/>
    <w:rsid w:val="00A434A2"/>
    <w:rsid w:val="00E1715F"/>
    <w:rsid w:val="00E45F81"/>
    <w:rsid w:val="00F045BA"/>
    <w:rsid w:val="00FC35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F9160"/>
  <w15:chartTrackingRefBased/>
  <w15:docId w15:val="{A969C755-2411-473F-8D3C-BF1FEB87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F6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Heading3">
    <w:name w:val="heading 3"/>
    <w:basedOn w:val="Normal"/>
    <w:next w:val="Normal"/>
    <w:link w:val="Heading3Char"/>
    <w:semiHidden/>
    <w:unhideWhenUsed/>
    <w:qFormat/>
    <w:rsid w:val="00923F6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923F67"/>
    <w:rPr>
      <w:rFonts w:ascii="Arial" w:eastAsia="Times New Roman" w:hAnsi="Arial" w:cs="Arial"/>
      <w:b/>
      <w:bCs/>
      <w:kern w:val="28"/>
      <w:sz w:val="26"/>
      <w:szCs w:val="26"/>
      <w:lang w:val="en-GB" w:eastAsia="lv-LV"/>
    </w:rPr>
  </w:style>
  <w:style w:type="character" w:styleId="Hyperlink">
    <w:name w:val="Hyperlink"/>
    <w:basedOn w:val="DefaultParagraphFont"/>
    <w:uiPriority w:val="99"/>
    <w:semiHidden/>
    <w:unhideWhenUsed/>
    <w:rsid w:val="00923F67"/>
    <w:rPr>
      <w:color w:val="0000FF"/>
      <w:u w:val="single"/>
    </w:rPr>
  </w:style>
  <w:style w:type="character" w:customStyle="1" w:styleId="ListParagraphChar">
    <w:name w:val="List Paragraph Char"/>
    <w:aliases w:val="Normal bullet 2 Char,Bullet list Char,Syle 1 Char,Strip Char,H&amp;P List Paragraph Char,2 Char,Saistīto dokumentu saraksts Char"/>
    <w:link w:val="ListParagraph"/>
    <w:uiPriority w:val="99"/>
    <w:qFormat/>
    <w:locked/>
    <w:rsid w:val="00923F67"/>
    <w:rPr>
      <w:rFonts w:ascii="Times New Roman" w:eastAsia="SimSun" w:hAnsi="Times New Roman" w:cs="Times New Roman"/>
      <w:sz w:val="24"/>
      <w:szCs w:val="24"/>
      <w:lang w:eastAsia="zh-CN"/>
    </w:rPr>
  </w:style>
  <w:style w:type="paragraph" w:styleId="ListParagraph">
    <w:name w:val="List Paragraph"/>
    <w:aliases w:val="Normal bullet 2,Bullet list,Syle 1,Strip,H&amp;P List Paragraph,2,Saistīto dokumentu saraksts"/>
    <w:basedOn w:val="Normal"/>
    <w:link w:val="ListParagraphChar"/>
    <w:uiPriority w:val="99"/>
    <w:qFormat/>
    <w:rsid w:val="00923F67"/>
    <w:pPr>
      <w:widowControl/>
      <w:overflowPunct/>
      <w:autoSpaceDE/>
      <w:autoSpaceDN/>
      <w:adjustRightInd/>
      <w:ind w:left="720"/>
      <w:contextualSpacing/>
    </w:pPr>
    <w:rPr>
      <w:rFonts w:eastAsia="SimSun"/>
      <w:kern w:val="0"/>
      <w:sz w:val="24"/>
      <w:szCs w:val="24"/>
      <w:lang w:val="lv-LV" w:eastAsia="zh-CN"/>
    </w:rPr>
  </w:style>
  <w:style w:type="table" w:styleId="TableGrid">
    <w:name w:val="Table Grid"/>
    <w:basedOn w:val="TableNormal"/>
    <w:rsid w:val="00923F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822588">
      <w:bodyDiv w:val="1"/>
      <w:marLeft w:val="0"/>
      <w:marRight w:val="0"/>
      <w:marTop w:val="0"/>
      <w:marBottom w:val="0"/>
      <w:divBdr>
        <w:top w:val="none" w:sz="0" w:space="0" w:color="auto"/>
        <w:left w:val="none" w:sz="0" w:space="0" w:color="auto"/>
        <w:bottom w:val="none" w:sz="0" w:space="0" w:color="auto"/>
        <w:right w:val="none" w:sz="0" w:space="0" w:color="auto"/>
      </w:divBdr>
    </w:div>
    <w:div w:id="157674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s.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7656</Words>
  <Characters>4365</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Ivuškāne</dc:creator>
  <cp:keywords/>
  <dc:description/>
  <cp:lastModifiedBy>Silva Ivuškāne</cp:lastModifiedBy>
  <cp:revision>4</cp:revision>
  <dcterms:created xsi:type="dcterms:W3CDTF">2020-05-13T07:21:00Z</dcterms:created>
  <dcterms:modified xsi:type="dcterms:W3CDTF">2020-05-27T08:21:00Z</dcterms:modified>
</cp:coreProperties>
</file>