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01" w:rsidRDefault="006A0601" w:rsidP="004169EA">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6A0601" w:rsidRDefault="006A0601" w:rsidP="004169EA">
      <w:pPr>
        <w:pStyle w:val="Bezatstarpm"/>
        <w:jc w:val="center"/>
        <w:rPr>
          <w:b/>
          <w:sz w:val="24"/>
          <w:szCs w:val="24"/>
          <w:lang w:val="lv-LV"/>
        </w:rPr>
      </w:pPr>
    </w:p>
    <w:p w:rsidR="006A0601" w:rsidRDefault="006A0601" w:rsidP="004169EA">
      <w:pPr>
        <w:pStyle w:val="Bezatstarpm"/>
        <w:jc w:val="center"/>
        <w:rPr>
          <w:b/>
          <w:sz w:val="24"/>
          <w:szCs w:val="24"/>
          <w:lang w:val="lv-LV"/>
        </w:rPr>
      </w:pPr>
    </w:p>
    <w:p w:rsidR="006A0601" w:rsidRDefault="006A0601" w:rsidP="004169EA">
      <w:pPr>
        <w:pStyle w:val="Bezatstarpm"/>
        <w:jc w:val="center"/>
        <w:rPr>
          <w:b/>
          <w:sz w:val="24"/>
          <w:szCs w:val="24"/>
          <w:lang w:val="lv-LV"/>
        </w:rPr>
      </w:pPr>
    </w:p>
    <w:p w:rsidR="006A0601" w:rsidRPr="008D5D94" w:rsidRDefault="006A0601" w:rsidP="004169EA">
      <w:pPr>
        <w:pStyle w:val="Bezatstarpm"/>
        <w:jc w:val="center"/>
        <w:rPr>
          <w:b/>
          <w:sz w:val="24"/>
          <w:szCs w:val="24"/>
          <w:lang w:val="lv-LV"/>
        </w:rPr>
      </w:pPr>
      <w:r w:rsidRPr="008D5D94">
        <w:rPr>
          <w:b/>
          <w:sz w:val="24"/>
          <w:szCs w:val="24"/>
          <w:lang w:val="lv-LV"/>
        </w:rPr>
        <w:t>LATVIJAS REPUBLIKA</w:t>
      </w:r>
    </w:p>
    <w:p w:rsidR="006A0601" w:rsidRPr="008D5D94" w:rsidRDefault="006A0601" w:rsidP="004169EA">
      <w:pPr>
        <w:pStyle w:val="Bezatstarpm"/>
        <w:jc w:val="center"/>
        <w:rPr>
          <w:b/>
          <w:sz w:val="24"/>
          <w:szCs w:val="24"/>
          <w:lang w:val="lv-LV"/>
        </w:rPr>
      </w:pPr>
      <w:r w:rsidRPr="008D5D94">
        <w:rPr>
          <w:b/>
          <w:sz w:val="24"/>
          <w:szCs w:val="24"/>
          <w:lang w:val="lv-LV"/>
        </w:rPr>
        <w:t>KANDAVAS NOVADA DOME</w:t>
      </w:r>
    </w:p>
    <w:p w:rsidR="006A0601" w:rsidRPr="008D5D94" w:rsidRDefault="006A0601" w:rsidP="004169EA">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6A0601" w:rsidRPr="008D5D94" w:rsidRDefault="009E39F9" w:rsidP="004169EA">
      <w:pPr>
        <w:pStyle w:val="Bezatstarpm"/>
        <w:jc w:val="center"/>
        <w:rPr>
          <w:sz w:val="24"/>
          <w:szCs w:val="24"/>
          <w:lang w:val="lv-LV"/>
        </w:rPr>
      </w:pPr>
      <w:r>
        <w:rPr>
          <w:noProof/>
          <w:sz w:val="24"/>
          <w:szCs w:val="24"/>
          <w:lang w:val="lv-LV"/>
        </w:rPr>
        <mc:AlternateContent>
          <mc:Choice Requires="wps">
            <w:drawing>
              <wp:anchor distT="4294967294" distB="4294967294" distL="114300" distR="114300" simplePos="0" relativeHeight="251660288" behindDoc="0" locked="0" layoutInCell="1" allowOverlap="1">
                <wp:simplePos x="0" y="0"/>
                <wp:positionH relativeFrom="column">
                  <wp:posOffset>-22860</wp:posOffset>
                </wp:positionH>
                <wp:positionV relativeFrom="paragraph">
                  <wp:posOffset>168274</wp:posOffset>
                </wp:positionV>
                <wp:extent cx="5991225" cy="0"/>
                <wp:effectExtent l="0" t="0" r="0" b="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9E6E9"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6A0601" w:rsidRPr="008D5D94">
        <w:rPr>
          <w:sz w:val="24"/>
          <w:szCs w:val="24"/>
          <w:lang w:val="lv-LV"/>
        </w:rPr>
        <w:t>Tālrunis 631 82028, fakss 631 82027, e-pasts: dome@kandava.lv</w:t>
      </w:r>
    </w:p>
    <w:p w:rsidR="006A0601" w:rsidRPr="008D5D94" w:rsidRDefault="006A0601" w:rsidP="004169EA">
      <w:pPr>
        <w:pStyle w:val="Bezatstarpm"/>
        <w:jc w:val="center"/>
        <w:rPr>
          <w:sz w:val="24"/>
          <w:szCs w:val="24"/>
          <w:lang w:val="lv-LV"/>
        </w:rPr>
      </w:pPr>
      <w:r w:rsidRPr="008D5D94">
        <w:rPr>
          <w:sz w:val="24"/>
          <w:szCs w:val="24"/>
          <w:lang w:val="lv-LV"/>
        </w:rPr>
        <w:t>Kandavā</w:t>
      </w:r>
    </w:p>
    <w:p w:rsidR="00DC0F04" w:rsidRDefault="006A0601" w:rsidP="004169EA">
      <w:pPr>
        <w:jc w:val="right"/>
      </w:pPr>
      <w:r w:rsidRPr="008D5D94">
        <w:tab/>
      </w:r>
    </w:p>
    <w:p w:rsidR="00DC0F04" w:rsidRPr="00E048A2" w:rsidRDefault="00DC0F04" w:rsidP="004169EA">
      <w:pPr>
        <w:contextualSpacing/>
        <w:jc w:val="right"/>
        <w:rPr>
          <w:b/>
        </w:rPr>
      </w:pPr>
      <w:r w:rsidRPr="00E048A2">
        <w:rPr>
          <w:b/>
        </w:rPr>
        <w:t>APSTIPRINĀTS</w:t>
      </w:r>
    </w:p>
    <w:p w:rsidR="00DC0F04" w:rsidRDefault="00DC0F04" w:rsidP="004169EA">
      <w:pPr>
        <w:contextualSpacing/>
        <w:jc w:val="right"/>
      </w:pPr>
      <w:r>
        <w:t>Kandavas novada domes sēdē</w:t>
      </w:r>
    </w:p>
    <w:p w:rsidR="00DC0F04" w:rsidRDefault="0086592B" w:rsidP="004169EA">
      <w:pPr>
        <w:contextualSpacing/>
        <w:jc w:val="right"/>
      </w:pPr>
      <w:r>
        <w:t>2017</w:t>
      </w:r>
      <w:r w:rsidR="00DC0F04">
        <w:t xml:space="preserve">.gada </w:t>
      </w:r>
      <w:r w:rsidR="006A0ABB">
        <w:t>26.oktobrī</w:t>
      </w:r>
    </w:p>
    <w:p w:rsidR="00DC0F04" w:rsidRDefault="006A0ABB" w:rsidP="004169EA">
      <w:pPr>
        <w:contextualSpacing/>
        <w:jc w:val="right"/>
      </w:pPr>
      <w:r>
        <w:t xml:space="preserve">(protokols Nr.16   </w:t>
      </w:r>
      <w:r w:rsidR="007B4903">
        <w:t>6</w:t>
      </w:r>
      <w:r w:rsidR="00DC0F04">
        <w:t>.§)</w:t>
      </w:r>
    </w:p>
    <w:p w:rsidR="00DC0F04" w:rsidRDefault="00DC0F04" w:rsidP="004169EA">
      <w:pPr>
        <w:jc w:val="center"/>
        <w:rPr>
          <w:b/>
          <w:bCs/>
        </w:rPr>
      </w:pPr>
    </w:p>
    <w:p w:rsidR="00DC0F04" w:rsidRPr="004B2C18" w:rsidRDefault="00DC0F04" w:rsidP="004169EA">
      <w:pPr>
        <w:contextualSpacing/>
        <w:jc w:val="center"/>
        <w:rPr>
          <w:b/>
        </w:rPr>
      </w:pPr>
      <w:r w:rsidRPr="004B2C18">
        <w:rPr>
          <w:b/>
        </w:rPr>
        <w:t>Kandavas novad</w:t>
      </w:r>
      <w:r>
        <w:rPr>
          <w:b/>
        </w:rPr>
        <w:t xml:space="preserve">a </w:t>
      </w:r>
      <w:r w:rsidR="00655AE6">
        <w:rPr>
          <w:b/>
        </w:rPr>
        <w:t>domes saistošie noteikumi Nr.20</w:t>
      </w:r>
    </w:p>
    <w:p w:rsidR="00DC0F04" w:rsidRPr="007E27A2" w:rsidRDefault="00ED353D" w:rsidP="004169EA">
      <w:pPr>
        <w:contextualSpacing/>
        <w:jc w:val="center"/>
        <w:rPr>
          <w:b/>
          <w:szCs w:val="28"/>
        </w:rPr>
      </w:pPr>
      <w:r>
        <w:rPr>
          <w:b/>
          <w:bCs/>
        </w:rPr>
        <w:t>„</w:t>
      </w:r>
      <w:r w:rsidRPr="00377AA5">
        <w:rPr>
          <w:b/>
          <w:bCs/>
        </w:rPr>
        <w:t xml:space="preserve">Grozījumi  </w:t>
      </w:r>
      <w:r w:rsidRPr="00E24BC3">
        <w:rPr>
          <w:b/>
          <w:bCs/>
        </w:rPr>
        <w:t>Kandavas novada domes 201</w:t>
      </w:r>
      <w:r>
        <w:rPr>
          <w:b/>
          <w:bCs/>
        </w:rPr>
        <w:t>6.</w:t>
      </w:r>
      <w:r w:rsidRPr="00E24BC3">
        <w:rPr>
          <w:b/>
          <w:bCs/>
        </w:rPr>
        <w:t xml:space="preserve"> gada </w:t>
      </w:r>
      <w:r>
        <w:rPr>
          <w:b/>
          <w:bCs/>
        </w:rPr>
        <w:t xml:space="preserve">29. septembra </w:t>
      </w:r>
      <w:r w:rsidRPr="00E24BC3">
        <w:rPr>
          <w:b/>
          <w:bCs/>
        </w:rPr>
        <w:t xml:space="preserve">saistošajos noteikumos Nr. </w:t>
      </w:r>
      <w:r>
        <w:rPr>
          <w:b/>
          <w:bCs/>
        </w:rPr>
        <w:t>11</w:t>
      </w:r>
      <w:r w:rsidRPr="00E24BC3">
        <w:rPr>
          <w:b/>
          <w:bCs/>
        </w:rPr>
        <w:t xml:space="preserve"> </w:t>
      </w:r>
      <w:r w:rsidRPr="00E24BC3">
        <w:rPr>
          <w:b/>
        </w:rPr>
        <w:t>„</w:t>
      </w:r>
      <w:r w:rsidRPr="006F4DF1">
        <w:rPr>
          <w:b/>
          <w:shd w:val="clear" w:color="auto" w:fill="FFFFFF"/>
        </w:rPr>
        <w:t xml:space="preserve">Par </w:t>
      </w:r>
      <w:r>
        <w:rPr>
          <w:b/>
          <w:shd w:val="clear" w:color="auto" w:fill="FFFFFF"/>
        </w:rPr>
        <w:t>pašvaldības nodevām Kandavas novadā</w:t>
      </w:r>
      <w:r w:rsidRPr="00E24BC3">
        <w:rPr>
          <w:b/>
        </w:rPr>
        <w:t>”</w:t>
      </w:r>
      <w:r w:rsidR="007E27A2" w:rsidRPr="007E27A2">
        <w:rPr>
          <w:b/>
        </w:rPr>
        <w:t>”</w:t>
      </w:r>
    </w:p>
    <w:p w:rsidR="006A0601" w:rsidRDefault="006A0601" w:rsidP="004169EA">
      <w:pPr>
        <w:jc w:val="center"/>
        <w:rPr>
          <w:b/>
        </w:rPr>
      </w:pPr>
    </w:p>
    <w:p w:rsidR="007E27A2" w:rsidRPr="00C859C6" w:rsidRDefault="007E27A2" w:rsidP="004169EA">
      <w:pPr>
        <w:pStyle w:val="Standard"/>
        <w:ind w:left="4536"/>
        <w:contextualSpacing/>
        <w:jc w:val="right"/>
        <w:rPr>
          <w:sz w:val="22"/>
          <w:lang w:val="lv-LV"/>
        </w:rPr>
      </w:pPr>
      <w:r w:rsidRPr="006A3135">
        <w:rPr>
          <w:i/>
          <w:sz w:val="20"/>
          <w:szCs w:val="22"/>
          <w:shd w:val="clear" w:color="auto" w:fill="FFFFFF"/>
          <w:lang w:val="lv-LV"/>
        </w:rPr>
        <w:t>Izdoti saskaņā ar</w:t>
      </w:r>
      <w:r w:rsidR="00502759">
        <w:rPr>
          <w:i/>
          <w:sz w:val="20"/>
          <w:szCs w:val="22"/>
          <w:shd w:val="clear" w:color="auto" w:fill="FFFFFF"/>
          <w:lang w:val="lv-LV"/>
        </w:rPr>
        <w:t xml:space="preserve"> </w:t>
      </w:r>
      <w:r w:rsidRPr="006A3135">
        <w:rPr>
          <w:i/>
          <w:sz w:val="20"/>
          <w:szCs w:val="22"/>
          <w:shd w:val="clear" w:color="auto" w:fill="FFFFFF"/>
          <w:lang w:val="lv-LV"/>
        </w:rPr>
        <w:t>likuma “Par pašvaldībām” 4</w:t>
      </w:r>
      <w:r w:rsidR="00502759">
        <w:rPr>
          <w:i/>
          <w:sz w:val="20"/>
          <w:szCs w:val="22"/>
          <w:shd w:val="clear" w:color="auto" w:fill="FFFFFF"/>
          <w:lang w:val="lv-LV"/>
        </w:rPr>
        <w:t>1.panta pirmās</w:t>
      </w:r>
      <w:r w:rsidRPr="006A3135">
        <w:rPr>
          <w:i/>
          <w:sz w:val="20"/>
          <w:szCs w:val="22"/>
          <w:shd w:val="clear" w:color="auto" w:fill="FFFFFF"/>
          <w:lang w:val="lv-LV"/>
        </w:rPr>
        <w:t xml:space="preserve"> da</w:t>
      </w:r>
      <w:r w:rsidR="00502759">
        <w:rPr>
          <w:i/>
          <w:sz w:val="20"/>
          <w:szCs w:val="22"/>
          <w:shd w:val="clear" w:color="auto" w:fill="FFFFFF"/>
          <w:lang w:val="lv-LV"/>
        </w:rPr>
        <w:t xml:space="preserve">ļas 1.punktu, </w:t>
      </w:r>
      <w:r w:rsidR="00482002">
        <w:rPr>
          <w:i/>
          <w:sz w:val="20"/>
          <w:szCs w:val="22"/>
          <w:shd w:val="clear" w:color="auto" w:fill="FFFFFF"/>
          <w:lang w:val="lv-LV"/>
        </w:rPr>
        <w:t>likuma „Par nodokļiem un nodevām” 10.panta trešo daļu, 12.panta pirmās daļas 1., 2., 4., 7., 9., 10. punktu un Ministru kabineta 2005.gada 28.jūnija noteikumu Nr.480 „Noteikumi par kārtību, kādā pašvaldības var uzlikt pašvaldības nodevas” 16.</w:t>
      </w:r>
      <w:r w:rsidR="00482002" w:rsidRPr="00482002">
        <w:rPr>
          <w:i/>
          <w:sz w:val="20"/>
          <w:szCs w:val="22"/>
          <w:shd w:val="clear" w:color="auto" w:fill="FFFFFF"/>
          <w:vertAlign w:val="superscript"/>
          <w:lang w:val="lv-LV"/>
        </w:rPr>
        <w:t>1</w:t>
      </w:r>
      <w:r w:rsidR="00482002">
        <w:rPr>
          <w:i/>
          <w:sz w:val="20"/>
          <w:szCs w:val="22"/>
          <w:shd w:val="clear" w:color="auto" w:fill="FFFFFF"/>
          <w:lang w:val="lv-LV"/>
        </w:rPr>
        <w:t xml:space="preserve"> punktu </w:t>
      </w:r>
    </w:p>
    <w:p w:rsidR="006A0601" w:rsidRDefault="006A0601" w:rsidP="004169EA">
      <w:pPr>
        <w:jc w:val="right"/>
      </w:pPr>
    </w:p>
    <w:p w:rsidR="006A0601" w:rsidRDefault="006A0601" w:rsidP="004169EA">
      <w:pPr>
        <w:ind w:firstLine="720"/>
        <w:contextualSpacing/>
        <w:jc w:val="both"/>
      </w:pPr>
      <w:r w:rsidRPr="00063AEE">
        <w:t xml:space="preserve">Izdarīt Kandavas novada domes </w:t>
      </w:r>
      <w:r w:rsidR="00655AE6">
        <w:t xml:space="preserve">2016.gada 29.septembra </w:t>
      </w:r>
      <w:r w:rsidRPr="00063AEE">
        <w:t>saistošajos noteikumos Nr.</w:t>
      </w:r>
      <w:r w:rsidR="007E27A2">
        <w:t>1</w:t>
      </w:r>
      <w:r w:rsidR="00482002">
        <w:t>1</w:t>
      </w:r>
      <w:r w:rsidRPr="00063AEE">
        <w:t xml:space="preserve"> </w:t>
      </w:r>
      <w:r w:rsidRPr="00407731">
        <w:t>„</w:t>
      </w:r>
      <w:r w:rsidR="00482002">
        <w:rPr>
          <w:shd w:val="clear" w:color="auto" w:fill="FFFFFF"/>
        </w:rPr>
        <w:t>Par pašvaldības nodevām Kandavas novadā</w:t>
      </w:r>
      <w:r w:rsidR="00407731" w:rsidRPr="00407731">
        <w:rPr>
          <w:szCs w:val="28"/>
        </w:rPr>
        <w:t>”</w:t>
      </w:r>
      <w:r w:rsidRPr="00407731">
        <w:t xml:space="preserve"> (turpmāk- noteikumi) šādus grozījumus:</w:t>
      </w:r>
    </w:p>
    <w:p w:rsidR="00582F4A" w:rsidRPr="00145093" w:rsidRDefault="00582F4A" w:rsidP="004169EA">
      <w:pPr>
        <w:jc w:val="both"/>
      </w:pPr>
    </w:p>
    <w:p w:rsidR="006F1E4D" w:rsidRDefault="00B70581" w:rsidP="004169EA">
      <w:pPr>
        <w:pStyle w:val="Sarakstarindkopa"/>
        <w:numPr>
          <w:ilvl w:val="0"/>
          <w:numId w:val="15"/>
        </w:numPr>
        <w:jc w:val="both"/>
        <w:rPr>
          <w:sz w:val="24"/>
          <w:szCs w:val="24"/>
        </w:rPr>
      </w:pPr>
      <w:r w:rsidRPr="00145093">
        <w:rPr>
          <w:sz w:val="24"/>
          <w:szCs w:val="24"/>
        </w:rPr>
        <w:t>Izteikt</w:t>
      </w:r>
      <w:r w:rsidR="004E2FFF">
        <w:rPr>
          <w:sz w:val="24"/>
          <w:szCs w:val="24"/>
        </w:rPr>
        <w:t xml:space="preserve"> noteikumu</w:t>
      </w:r>
      <w:r w:rsidRPr="00145093">
        <w:rPr>
          <w:sz w:val="24"/>
          <w:szCs w:val="24"/>
        </w:rPr>
        <w:t xml:space="preserve"> 5.punktu šādā redakcijā: </w:t>
      </w:r>
    </w:p>
    <w:p w:rsidR="00145093" w:rsidRPr="00145093" w:rsidRDefault="00145093" w:rsidP="004169EA">
      <w:pPr>
        <w:pStyle w:val="Sarakstarindkopa"/>
        <w:jc w:val="both"/>
        <w:rPr>
          <w:sz w:val="24"/>
          <w:szCs w:val="24"/>
        </w:rPr>
      </w:pPr>
    </w:p>
    <w:p w:rsidR="00B70581" w:rsidRPr="00145093" w:rsidRDefault="00B70581" w:rsidP="009B2C3B">
      <w:pPr>
        <w:jc w:val="both"/>
      </w:pPr>
      <w:r w:rsidRPr="00145093">
        <w:t>„</w:t>
      </w:r>
      <w:r w:rsidR="00134172" w:rsidRPr="00145093">
        <w:t xml:space="preserve">5. </w:t>
      </w:r>
      <w:r w:rsidR="00952A98" w:rsidRPr="009B2C3B">
        <w:t xml:space="preserve">Kandavas novada Būvvalde </w:t>
      </w:r>
      <w:r w:rsidR="00952A98">
        <w:t xml:space="preserve">ir </w:t>
      </w:r>
      <w:r w:rsidR="00952A98" w:rsidRPr="009B2C3B">
        <w:t>atbildīga</w:t>
      </w:r>
      <w:r w:rsidR="00952A98" w:rsidRPr="00952A98">
        <w:t xml:space="preserve"> </w:t>
      </w:r>
      <w:r w:rsidR="00A874CC">
        <w:t xml:space="preserve">par </w:t>
      </w:r>
      <w:r w:rsidR="00A874CC" w:rsidRPr="009B2C3B">
        <w:t>nodevas</w:t>
      </w:r>
      <w:r w:rsidR="006A0ABB">
        <w:t>, sakarā ar</w:t>
      </w:r>
      <w:r w:rsidR="00A874CC">
        <w:t xml:space="preserve"> reklāmas izvietošanu Kandavas novadā, </w:t>
      </w:r>
      <w:r w:rsidR="00A874CC" w:rsidRPr="009B2C3B">
        <w:t>aprēķināšanu</w:t>
      </w:r>
      <w:r w:rsidR="008F0A83">
        <w:t>.</w:t>
      </w:r>
      <w:r w:rsidR="00952A98" w:rsidRPr="009B2C3B">
        <w:t>”.</w:t>
      </w:r>
    </w:p>
    <w:p w:rsidR="002252F2" w:rsidRPr="00145093" w:rsidRDefault="002252F2" w:rsidP="004169EA">
      <w:pPr>
        <w:ind w:left="360"/>
        <w:jc w:val="both"/>
      </w:pPr>
    </w:p>
    <w:p w:rsidR="00145093" w:rsidRDefault="00145093" w:rsidP="004169EA">
      <w:pPr>
        <w:pStyle w:val="Sarakstarindkopa"/>
        <w:numPr>
          <w:ilvl w:val="0"/>
          <w:numId w:val="15"/>
        </w:numPr>
        <w:jc w:val="both"/>
        <w:rPr>
          <w:sz w:val="24"/>
          <w:szCs w:val="24"/>
        </w:rPr>
      </w:pPr>
      <w:r w:rsidRPr="00145093">
        <w:rPr>
          <w:sz w:val="24"/>
          <w:szCs w:val="24"/>
        </w:rPr>
        <w:t>Svītrot noteikumu 5.1.</w:t>
      </w:r>
      <w:r w:rsidR="004959A5">
        <w:rPr>
          <w:sz w:val="24"/>
          <w:szCs w:val="24"/>
        </w:rPr>
        <w:t xml:space="preserve"> </w:t>
      </w:r>
      <w:r w:rsidRPr="00145093">
        <w:rPr>
          <w:sz w:val="24"/>
          <w:szCs w:val="24"/>
        </w:rPr>
        <w:t xml:space="preserve">apakšpunktu. </w:t>
      </w:r>
    </w:p>
    <w:p w:rsidR="00145093" w:rsidRDefault="00145093" w:rsidP="004169EA">
      <w:pPr>
        <w:pStyle w:val="Sarakstarindkopa"/>
        <w:jc w:val="both"/>
        <w:rPr>
          <w:sz w:val="24"/>
          <w:szCs w:val="24"/>
        </w:rPr>
      </w:pPr>
    </w:p>
    <w:p w:rsidR="00814CF5" w:rsidRDefault="00814CF5" w:rsidP="004169EA">
      <w:pPr>
        <w:pStyle w:val="Sarakstarindkopa"/>
        <w:numPr>
          <w:ilvl w:val="0"/>
          <w:numId w:val="15"/>
        </w:numPr>
        <w:jc w:val="both"/>
        <w:rPr>
          <w:sz w:val="24"/>
          <w:szCs w:val="24"/>
        </w:rPr>
      </w:pPr>
      <w:r w:rsidRPr="00145093">
        <w:rPr>
          <w:sz w:val="24"/>
          <w:szCs w:val="24"/>
        </w:rPr>
        <w:t xml:space="preserve">Izteikt </w:t>
      </w:r>
      <w:r w:rsidR="004E2FFF">
        <w:rPr>
          <w:sz w:val="24"/>
          <w:szCs w:val="24"/>
        </w:rPr>
        <w:t xml:space="preserve">noteikumu </w:t>
      </w:r>
      <w:r w:rsidRPr="00145093">
        <w:rPr>
          <w:sz w:val="24"/>
          <w:szCs w:val="24"/>
        </w:rPr>
        <w:t xml:space="preserve">5.2. apakšpunktu šādā redakcijā: </w:t>
      </w:r>
    </w:p>
    <w:p w:rsidR="00145093" w:rsidRPr="00145093" w:rsidRDefault="00145093" w:rsidP="004169EA">
      <w:pPr>
        <w:jc w:val="both"/>
      </w:pPr>
    </w:p>
    <w:p w:rsidR="00814CF5" w:rsidRDefault="00814CF5" w:rsidP="004169EA">
      <w:pPr>
        <w:jc w:val="both"/>
      </w:pPr>
      <w:r w:rsidRPr="00145093">
        <w:t xml:space="preserve">„5.2. </w:t>
      </w:r>
      <w:r w:rsidR="00C1772C" w:rsidRPr="00145093">
        <w:t>Nodevas maksātāji par reklāmas izvietošanu publiskās vietās un vietās, kas vērstas pret publiskām vietām Kandavas novada administratīvajā teritorijā ir fiziskās un juridiskās personas.</w:t>
      </w:r>
      <w:r w:rsidRPr="00145093">
        <w:t xml:space="preserve">”. </w:t>
      </w:r>
    </w:p>
    <w:p w:rsidR="00145093" w:rsidRDefault="00145093" w:rsidP="004169EA">
      <w:pPr>
        <w:jc w:val="both"/>
      </w:pPr>
    </w:p>
    <w:p w:rsidR="00145093" w:rsidRPr="00145093" w:rsidRDefault="00145093" w:rsidP="004169EA">
      <w:pPr>
        <w:pStyle w:val="Sarakstarindkopa"/>
        <w:numPr>
          <w:ilvl w:val="0"/>
          <w:numId w:val="15"/>
        </w:numPr>
        <w:jc w:val="both"/>
        <w:rPr>
          <w:sz w:val="24"/>
          <w:szCs w:val="24"/>
        </w:rPr>
      </w:pPr>
      <w:r w:rsidRPr="00145093">
        <w:rPr>
          <w:sz w:val="24"/>
          <w:szCs w:val="24"/>
        </w:rPr>
        <w:t xml:space="preserve">Izteikt </w:t>
      </w:r>
      <w:r w:rsidR="004E2FFF">
        <w:rPr>
          <w:sz w:val="24"/>
          <w:szCs w:val="24"/>
        </w:rPr>
        <w:t xml:space="preserve">noteikumu </w:t>
      </w:r>
      <w:r w:rsidRPr="00145093">
        <w:rPr>
          <w:sz w:val="24"/>
          <w:szCs w:val="24"/>
        </w:rPr>
        <w:t xml:space="preserve">5.4. apakšpunktu šādā redakcijā: </w:t>
      </w:r>
    </w:p>
    <w:p w:rsidR="00145093" w:rsidRDefault="00145093" w:rsidP="004169EA">
      <w:pPr>
        <w:jc w:val="both"/>
      </w:pPr>
    </w:p>
    <w:p w:rsidR="00145093" w:rsidRDefault="00145093" w:rsidP="004169EA">
      <w:pPr>
        <w:jc w:val="both"/>
      </w:pPr>
      <w:r>
        <w:t>„5.4. No</w:t>
      </w:r>
      <w:r w:rsidR="00C63E39">
        <w:t xml:space="preserve">deva pilnā apjomā, saskaņā ar </w:t>
      </w:r>
      <w:r>
        <w:t>pielikumu</w:t>
      </w:r>
      <w:r w:rsidR="00C63E39">
        <w:t xml:space="preserve"> „Nodevas likme, koeficienti un aprēķināšanas kārtība”</w:t>
      </w:r>
      <w:r>
        <w:t>, tiek aprēķināta un iekasēta pirms reklāmas, afišu un citu informatīvo materiālu izvietošanas</w:t>
      </w:r>
      <w:r w:rsidR="006E066F">
        <w:t>.</w:t>
      </w:r>
      <w:r>
        <w:t xml:space="preserve">”. </w:t>
      </w:r>
    </w:p>
    <w:p w:rsidR="004E2FFF" w:rsidRPr="009B2C3B" w:rsidRDefault="004E2FFF" w:rsidP="004169EA">
      <w:pPr>
        <w:jc w:val="both"/>
      </w:pPr>
    </w:p>
    <w:p w:rsidR="004E2FFF" w:rsidRPr="009B2C3B" w:rsidRDefault="004E2FFF" w:rsidP="004E2FFF">
      <w:pPr>
        <w:pStyle w:val="Sarakstarindkopa"/>
        <w:numPr>
          <w:ilvl w:val="0"/>
          <w:numId w:val="15"/>
        </w:numPr>
        <w:jc w:val="both"/>
        <w:rPr>
          <w:sz w:val="24"/>
          <w:szCs w:val="24"/>
        </w:rPr>
      </w:pPr>
      <w:r w:rsidRPr="009B2C3B">
        <w:rPr>
          <w:sz w:val="24"/>
          <w:szCs w:val="24"/>
        </w:rPr>
        <w:t>Svītrot noteikumu 5.6.</w:t>
      </w:r>
      <w:r w:rsidR="004959A5">
        <w:rPr>
          <w:sz w:val="24"/>
          <w:szCs w:val="24"/>
        </w:rPr>
        <w:t xml:space="preserve"> </w:t>
      </w:r>
      <w:r w:rsidRPr="009B2C3B">
        <w:rPr>
          <w:sz w:val="24"/>
          <w:szCs w:val="24"/>
        </w:rPr>
        <w:t xml:space="preserve">apakšpunktu. </w:t>
      </w:r>
    </w:p>
    <w:p w:rsidR="004E2FFF" w:rsidRPr="009B2C3B" w:rsidRDefault="004E2FFF" w:rsidP="004E2FFF">
      <w:pPr>
        <w:jc w:val="both"/>
      </w:pPr>
    </w:p>
    <w:p w:rsidR="009B2C3B" w:rsidRDefault="009B2C3B" w:rsidP="004E2FFF">
      <w:pPr>
        <w:pStyle w:val="Sarakstarindkopa"/>
        <w:numPr>
          <w:ilvl w:val="0"/>
          <w:numId w:val="15"/>
        </w:numPr>
        <w:jc w:val="both"/>
        <w:rPr>
          <w:sz w:val="24"/>
          <w:szCs w:val="24"/>
        </w:rPr>
      </w:pPr>
      <w:r w:rsidRPr="009B2C3B">
        <w:rPr>
          <w:sz w:val="24"/>
          <w:szCs w:val="24"/>
        </w:rPr>
        <w:t>Papildināt</w:t>
      </w:r>
      <w:r>
        <w:rPr>
          <w:sz w:val="24"/>
          <w:szCs w:val="24"/>
        </w:rPr>
        <w:t xml:space="preserve"> noteikumus ar 5.9.</w:t>
      </w:r>
      <w:r w:rsidR="004959A5">
        <w:rPr>
          <w:sz w:val="24"/>
          <w:szCs w:val="24"/>
        </w:rPr>
        <w:t xml:space="preserve"> </w:t>
      </w:r>
      <w:r>
        <w:rPr>
          <w:sz w:val="24"/>
          <w:szCs w:val="24"/>
        </w:rPr>
        <w:t xml:space="preserve">apakšpunktu šādā redakcijā: </w:t>
      </w:r>
    </w:p>
    <w:p w:rsidR="009B2C3B" w:rsidRPr="009B2C3B" w:rsidRDefault="009B2C3B" w:rsidP="009B2C3B">
      <w:pPr>
        <w:pStyle w:val="Sarakstarindkopa"/>
        <w:rPr>
          <w:sz w:val="24"/>
          <w:szCs w:val="24"/>
        </w:rPr>
      </w:pPr>
    </w:p>
    <w:p w:rsidR="004E2FFF" w:rsidRDefault="009B2C3B" w:rsidP="009B2C3B">
      <w:pPr>
        <w:jc w:val="both"/>
      </w:pPr>
      <w:r>
        <w:lastRenderedPageBreak/>
        <w:t xml:space="preserve">„5.9. </w:t>
      </w:r>
      <w:r w:rsidRPr="009B2C3B">
        <w:t xml:space="preserve"> </w:t>
      </w:r>
      <w:r>
        <w:t xml:space="preserve">Netiek atmaksātas tās pašvaldības nodevas summas, kas aprēķinātas un iekasētas, pamatojoties uz reklāmas devēja sniegtajām ziņām, un ja pēc pašvaldības nodevas samaksāšanas reklāmas devējs samazinājis reklāmas eksponēšanas ilgumu vai reklāmas laukuma platību (apjomu).”. </w:t>
      </w:r>
    </w:p>
    <w:p w:rsidR="009B2C3B" w:rsidRPr="009B2C3B" w:rsidRDefault="009B2C3B" w:rsidP="009B2C3B">
      <w:pPr>
        <w:jc w:val="both"/>
      </w:pPr>
    </w:p>
    <w:p w:rsidR="00145093" w:rsidRDefault="00145093" w:rsidP="004169EA">
      <w:pPr>
        <w:jc w:val="both"/>
      </w:pPr>
    </w:p>
    <w:p w:rsidR="006A0601" w:rsidRPr="00200F6F" w:rsidRDefault="006A0601" w:rsidP="004169EA">
      <w:pPr>
        <w:jc w:val="both"/>
      </w:pPr>
      <w:r w:rsidRPr="00200F6F">
        <w:t>Kand</w:t>
      </w:r>
      <w:r w:rsidR="00E11170">
        <w:t>avas novada domes priekšsēdētāja</w:t>
      </w:r>
      <w:r w:rsidR="000355B4">
        <w:t xml:space="preserve"> ( personiskais paraksts) </w:t>
      </w:r>
      <w:r w:rsidR="00E11170">
        <w:t>I. Priede</w:t>
      </w:r>
    </w:p>
    <w:p w:rsidR="006A0601" w:rsidRDefault="006A0601" w:rsidP="004169EA">
      <w:pPr>
        <w:jc w:val="center"/>
        <w:rPr>
          <w:b/>
        </w:rPr>
      </w:pPr>
    </w:p>
    <w:p w:rsidR="009B2C3B" w:rsidRDefault="009B2C3B" w:rsidP="004169EA">
      <w:pPr>
        <w:jc w:val="right"/>
      </w:pPr>
    </w:p>
    <w:p w:rsidR="009B2C3B" w:rsidRDefault="009B2C3B">
      <w:pPr>
        <w:spacing w:after="200" w:line="276" w:lineRule="auto"/>
      </w:pPr>
      <w:r>
        <w:br w:type="page"/>
      </w:r>
    </w:p>
    <w:p w:rsidR="00476C41" w:rsidRDefault="00D50B15" w:rsidP="004169EA">
      <w:pPr>
        <w:jc w:val="right"/>
        <w:rPr>
          <w:i/>
        </w:rPr>
      </w:pPr>
      <w:r w:rsidRPr="006A0ABB">
        <w:rPr>
          <w:i/>
        </w:rPr>
        <w:lastRenderedPageBreak/>
        <w:t>P</w:t>
      </w:r>
      <w:r w:rsidR="00C63E39" w:rsidRPr="006A0ABB">
        <w:rPr>
          <w:i/>
        </w:rPr>
        <w:t>ielikums</w:t>
      </w:r>
    </w:p>
    <w:p w:rsidR="006A0ABB" w:rsidRDefault="006A0ABB" w:rsidP="004169EA">
      <w:pPr>
        <w:jc w:val="right"/>
        <w:rPr>
          <w:i/>
        </w:rPr>
      </w:pPr>
      <w:r>
        <w:rPr>
          <w:i/>
        </w:rPr>
        <w:t>Saistošajiem noteikumiem Nr.20</w:t>
      </w:r>
    </w:p>
    <w:p w:rsidR="006A0ABB" w:rsidRDefault="006A0ABB" w:rsidP="004169EA">
      <w:pPr>
        <w:jc w:val="right"/>
        <w:rPr>
          <w:i/>
        </w:rPr>
      </w:pPr>
      <w:r>
        <w:rPr>
          <w:i/>
        </w:rPr>
        <w:t>“Par pašvaldības nodevām Kandavas novadā”</w:t>
      </w:r>
    </w:p>
    <w:p w:rsidR="006A0ABB" w:rsidRPr="006A0ABB" w:rsidRDefault="006A0ABB" w:rsidP="004169EA">
      <w:pPr>
        <w:jc w:val="right"/>
        <w:rPr>
          <w:i/>
        </w:rPr>
      </w:pPr>
      <w:r>
        <w:rPr>
          <w:i/>
        </w:rPr>
        <w:t>(apst.</w:t>
      </w:r>
      <w:r w:rsidR="007B4903">
        <w:rPr>
          <w:i/>
        </w:rPr>
        <w:t xml:space="preserve"> </w:t>
      </w:r>
      <w:r>
        <w:rPr>
          <w:i/>
        </w:rPr>
        <w:t xml:space="preserve">domes sēdē 26.10.2017., protokols Nr.16 </w:t>
      </w:r>
      <w:r w:rsidR="004177AA">
        <w:rPr>
          <w:i/>
        </w:rPr>
        <w:t>6</w:t>
      </w:r>
      <w:r>
        <w:rPr>
          <w:i/>
        </w:rPr>
        <w:t>.§)</w:t>
      </w:r>
    </w:p>
    <w:p w:rsidR="00476C41" w:rsidRDefault="00476C41" w:rsidP="004169EA">
      <w:pPr>
        <w:jc w:val="center"/>
        <w:rPr>
          <w:b/>
        </w:rPr>
      </w:pPr>
    </w:p>
    <w:p w:rsidR="00172AE5" w:rsidRPr="00C63E39" w:rsidRDefault="00C63E39" w:rsidP="004169EA">
      <w:pPr>
        <w:jc w:val="center"/>
        <w:rPr>
          <w:b/>
        </w:rPr>
      </w:pPr>
      <w:r w:rsidRPr="00C63E39">
        <w:rPr>
          <w:b/>
        </w:rPr>
        <w:t>Nodevas likme, koeficienti un aprēķināšanas kārtība</w:t>
      </w:r>
    </w:p>
    <w:p w:rsidR="006567F6" w:rsidRDefault="006567F6" w:rsidP="004169EA">
      <w:pPr>
        <w:jc w:val="center"/>
        <w:rPr>
          <w:b/>
        </w:rPr>
      </w:pPr>
    </w:p>
    <w:p w:rsidR="00C63E39" w:rsidRDefault="00C63E39" w:rsidP="004169EA">
      <w:pPr>
        <w:pStyle w:val="Sarakstarindkopa"/>
        <w:numPr>
          <w:ilvl w:val="0"/>
          <w:numId w:val="18"/>
        </w:numPr>
        <w:ind w:left="0" w:firstLine="360"/>
        <w:jc w:val="both"/>
        <w:rPr>
          <w:sz w:val="24"/>
          <w:szCs w:val="24"/>
        </w:rPr>
      </w:pPr>
      <w:r w:rsidRPr="00C63E39">
        <w:rPr>
          <w:sz w:val="24"/>
          <w:szCs w:val="24"/>
        </w:rPr>
        <w:t>Nodevu aprēķina pēc formulas: reklāmas izmērs (m</w:t>
      </w:r>
      <w:r w:rsidRPr="00C63E39">
        <w:rPr>
          <w:sz w:val="24"/>
          <w:szCs w:val="24"/>
          <w:vertAlign w:val="superscript"/>
        </w:rPr>
        <w:t>2</w:t>
      </w:r>
      <w:r w:rsidRPr="00C63E39">
        <w:rPr>
          <w:sz w:val="24"/>
          <w:szCs w:val="24"/>
        </w:rPr>
        <w:t xml:space="preserve">) x tarifa likme x zonas koeficients x efektivitātes koeficients x tematikas koeficients x laukuma koeficients x laiks </w:t>
      </w:r>
      <w:r w:rsidR="00AB6E90">
        <w:rPr>
          <w:sz w:val="24"/>
          <w:szCs w:val="24"/>
        </w:rPr>
        <w:t>dienās</w:t>
      </w:r>
      <w:r w:rsidRPr="00C63E39">
        <w:rPr>
          <w:sz w:val="24"/>
          <w:szCs w:val="24"/>
        </w:rPr>
        <w:t>.</w:t>
      </w:r>
    </w:p>
    <w:p w:rsidR="00C63E39" w:rsidRPr="00C63E39" w:rsidRDefault="00C63E39" w:rsidP="004169EA">
      <w:pPr>
        <w:jc w:val="both"/>
      </w:pPr>
    </w:p>
    <w:p w:rsidR="00C63E39" w:rsidRDefault="001832DF" w:rsidP="004169EA">
      <w:pPr>
        <w:pStyle w:val="Sarakstarindkopa"/>
        <w:numPr>
          <w:ilvl w:val="0"/>
          <w:numId w:val="18"/>
        </w:numPr>
        <w:jc w:val="both"/>
        <w:rPr>
          <w:sz w:val="24"/>
          <w:szCs w:val="24"/>
        </w:rPr>
      </w:pPr>
      <w:r>
        <w:rPr>
          <w:sz w:val="24"/>
          <w:szCs w:val="24"/>
        </w:rPr>
        <w:t xml:space="preserve">Tarifa likme ir </w:t>
      </w:r>
      <w:r w:rsidR="00AB6E90">
        <w:rPr>
          <w:sz w:val="24"/>
          <w:szCs w:val="24"/>
        </w:rPr>
        <w:t>0,1</w:t>
      </w:r>
      <w:r>
        <w:rPr>
          <w:sz w:val="24"/>
          <w:szCs w:val="24"/>
        </w:rPr>
        <w:t>0 eiro</w:t>
      </w:r>
      <w:r w:rsidR="00C63E39" w:rsidRPr="00C63E39">
        <w:rPr>
          <w:sz w:val="24"/>
          <w:szCs w:val="24"/>
        </w:rPr>
        <w:t xml:space="preserve">. </w:t>
      </w:r>
    </w:p>
    <w:p w:rsidR="00C33672" w:rsidRPr="00C33672" w:rsidRDefault="00C33672" w:rsidP="00C33672">
      <w:pPr>
        <w:pStyle w:val="Sarakstarindkopa"/>
        <w:rPr>
          <w:sz w:val="24"/>
          <w:szCs w:val="24"/>
        </w:rPr>
      </w:pPr>
    </w:p>
    <w:p w:rsidR="00C33672" w:rsidRPr="00C63E39" w:rsidRDefault="00C33672" w:rsidP="004169EA">
      <w:pPr>
        <w:pStyle w:val="Sarakstarindkopa"/>
        <w:numPr>
          <w:ilvl w:val="0"/>
          <w:numId w:val="18"/>
        </w:numPr>
        <w:jc w:val="both"/>
        <w:rPr>
          <w:sz w:val="24"/>
          <w:szCs w:val="24"/>
        </w:rPr>
      </w:pPr>
      <w:r>
        <w:rPr>
          <w:sz w:val="24"/>
          <w:szCs w:val="24"/>
        </w:rPr>
        <w:t>Reklāmas izmēram, kas ir mazāk par 1m</w:t>
      </w:r>
      <w:r w:rsidRPr="00C33672">
        <w:rPr>
          <w:sz w:val="24"/>
          <w:szCs w:val="24"/>
          <w:vertAlign w:val="superscript"/>
        </w:rPr>
        <w:t>2</w:t>
      </w:r>
      <w:r>
        <w:rPr>
          <w:sz w:val="24"/>
          <w:szCs w:val="24"/>
        </w:rPr>
        <w:t>, nodevas aprēķinā tiek piemērots skaitlis 1.</w:t>
      </w:r>
    </w:p>
    <w:p w:rsidR="00C63E39" w:rsidRPr="00C63E39" w:rsidRDefault="00C63E39" w:rsidP="004169EA">
      <w:pPr>
        <w:pStyle w:val="Sarakstarindkopa"/>
        <w:rPr>
          <w:sz w:val="24"/>
          <w:szCs w:val="24"/>
        </w:rPr>
      </w:pPr>
    </w:p>
    <w:p w:rsidR="00C63E39" w:rsidRPr="00C63E39" w:rsidRDefault="00C63E39" w:rsidP="004169EA">
      <w:pPr>
        <w:pStyle w:val="Sarakstarindkopa"/>
        <w:numPr>
          <w:ilvl w:val="0"/>
          <w:numId w:val="18"/>
        </w:numPr>
        <w:jc w:val="both"/>
        <w:rPr>
          <w:sz w:val="24"/>
          <w:szCs w:val="24"/>
        </w:rPr>
      </w:pPr>
      <w:r w:rsidRPr="00C63E39">
        <w:rPr>
          <w:sz w:val="24"/>
          <w:szCs w:val="24"/>
        </w:rPr>
        <w:t xml:space="preserve">Zonu koeficienti: </w:t>
      </w:r>
    </w:p>
    <w:tbl>
      <w:tblPr>
        <w:tblStyle w:val="Reatabula"/>
        <w:tblW w:w="0" w:type="auto"/>
        <w:tblLook w:val="04A0" w:firstRow="1" w:lastRow="0" w:firstColumn="1" w:lastColumn="0" w:noHBand="0" w:noVBand="1"/>
      </w:tblPr>
      <w:tblGrid>
        <w:gridCol w:w="890"/>
        <w:gridCol w:w="6793"/>
        <w:gridCol w:w="1378"/>
      </w:tblGrid>
      <w:tr w:rsidR="00605305" w:rsidTr="004169EA">
        <w:tc>
          <w:tcPr>
            <w:tcW w:w="890" w:type="dxa"/>
          </w:tcPr>
          <w:p w:rsidR="00605305" w:rsidRDefault="00605305" w:rsidP="004169EA">
            <w:pPr>
              <w:jc w:val="both"/>
            </w:pPr>
            <w:proofErr w:type="spellStart"/>
            <w:r>
              <w:t>Nr.p.k</w:t>
            </w:r>
            <w:proofErr w:type="spellEnd"/>
            <w:r>
              <w:t>.</w:t>
            </w:r>
          </w:p>
        </w:tc>
        <w:tc>
          <w:tcPr>
            <w:tcW w:w="7017" w:type="dxa"/>
          </w:tcPr>
          <w:p w:rsidR="00605305" w:rsidRDefault="00605305" w:rsidP="004169EA">
            <w:pPr>
              <w:jc w:val="center"/>
            </w:pPr>
            <w:r>
              <w:t>Zona</w:t>
            </w:r>
          </w:p>
        </w:tc>
        <w:tc>
          <w:tcPr>
            <w:tcW w:w="1380" w:type="dxa"/>
          </w:tcPr>
          <w:p w:rsidR="00605305" w:rsidRDefault="00605305" w:rsidP="004169EA">
            <w:pPr>
              <w:jc w:val="both"/>
            </w:pPr>
            <w:r>
              <w:t>Koeficients</w:t>
            </w:r>
          </w:p>
        </w:tc>
      </w:tr>
      <w:tr w:rsidR="00605305" w:rsidTr="004169EA">
        <w:tc>
          <w:tcPr>
            <w:tcW w:w="890" w:type="dxa"/>
          </w:tcPr>
          <w:p w:rsidR="00605305" w:rsidRDefault="00605305" w:rsidP="004169EA">
            <w:pPr>
              <w:jc w:val="both"/>
            </w:pPr>
            <w:r>
              <w:t>3.1.</w:t>
            </w:r>
          </w:p>
        </w:tc>
        <w:tc>
          <w:tcPr>
            <w:tcW w:w="7017" w:type="dxa"/>
          </w:tcPr>
          <w:p w:rsidR="00605305" w:rsidRDefault="00605305" w:rsidP="004169EA">
            <w:pPr>
              <w:jc w:val="both"/>
            </w:pPr>
            <w:r>
              <w:t xml:space="preserve">Kandavas </w:t>
            </w:r>
            <w:r w:rsidR="00B63362">
              <w:t>vec</w:t>
            </w:r>
            <w:r>
              <w:t>pilsēta</w:t>
            </w:r>
          </w:p>
        </w:tc>
        <w:tc>
          <w:tcPr>
            <w:tcW w:w="1380" w:type="dxa"/>
          </w:tcPr>
          <w:p w:rsidR="00605305" w:rsidRDefault="00605305" w:rsidP="004169EA">
            <w:pPr>
              <w:jc w:val="both"/>
            </w:pPr>
            <w:r>
              <w:t>4,0</w:t>
            </w:r>
          </w:p>
        </w:tc>
      </w:tr>
      <w:tr w:rsidR="00605305" w:rsidTr="004169EA">
        <w:tc>
          <w:tcPr>
            <w:tcW w:w="890" w:type="dxa"/>
          </w:tcPr>
          <w:p w:rsidR="00605305" w:rsidRDefault="00605305" w:rsidP="004169EA">
            <w:pPr>
              <w:jc w:val="both"/>
            </w:pPr>
            <w:r>
              <w:t>3.2.</w:t>
            </w:r>
          </w:p>
        </w:tc>
        <w:tc>
          <w:tcPr>
            <w:tcW w:w="7017" w:type="dxa"/>
          </w:tcPr>
          <w:p w:rsidR="00605305" w:rsidRDefault="00B63362" w:rsidP="004169EA">
            <w:pPr>
              <w:jc w:val="both"/>
            </w:pPr>
            <w:r>
              <w:t>Kandavas pilsēta</w:t>
            </w:r>
          </w:p>
        </w:tc>
        <w:tc>
          <w:tcPr>
            <w:tcW w:w="1380" w:type="dxa"/>
          </w:tcPr>
          <w:p w:rsidR="00605305" w:rsidRDefault="00B63362" w:rsidP="004169EA">
            <w:pPr>
              <w:jc w:val="both"/>
            </w:pPr>
            <w:r>
              <w:t>3,0</w:t>
            </w:r>
          </w:p>
        </w:tc>
      </w:tr>
      <w:tr w:rsidR="00605305" w:rsidTr="004169EA">
        <w:tc>
          <w:tcPr>
            <w:tcW w:w="890" w:type="dxa"/>
          </w:tcPr>
          <w:p w:rsidR="00605305" w:rsidRDefault="00B63362" w:rsidP="004169EA">
            <w:pPr>
              <w:jc w:val="both"/>
            </w:pPr>
            <w:r>
              <w:t>3.3.</w:t>
            </w:r>
          </w:p>
        </w:tc>
        <w:tc>
          <w:tcPr>
            <w:tcW w:w="7017" w:type="dxa"/>
          </w:tcPr>
          <w:p w:rsidR="00605305" w:rsidRDefault="00B63362" w:rsidP="004169EA">
            <w:pPr>
              <w:jc w:val="both"/>
            </w:pPr>
            <w:r>
              <w:t>Kandavas novada pagastu teritorijās</w:t>
            </w:r>
          </w:p>
        </w:tc>
        <w:tc>
          <w:tcPr>
            <w:tcW w:w="1380" w:type="dxa"/>
          </w:tcPr>
          <w:p w:rsidR="00605305" w:rsidRDefault="00B63362" w:rsidP="004169EA">
            <w:pPr>
              <w:jc w:val="both"/>
            </w:pPr>
            <w:r>
              <w:t>2,0</w:t>
            </w:r>
          </w:p>
        </w:tc>
      </w:tr>
    </w:tbl>
    <w:p w:rsidR="00C63E39" w:rsidRPr="00C63E39" w:rsidRDefault="00C63E39" w:rsidP="004169EA">
      <w:pPr>
        <w:jc w:val="both"/>
      </w:pPr>
    </w:p>
    <w:p w:rsidR="00B63362" w:rsidRPr="00A51800" w:rsidRDefault="00B63362" w:rsidP="004169EA">
      <w:pPr>
        <w:pStyle w:val="Sarakstarindkopa"/>
        <w:numPr>
          <w:ilvl w:val="0"/>
          <w:numId w:val="18"/>
        </w:numPr>
        <w:rPr>
          <w:sz w:val="24"/>
          <w:szCs w:val="24"/>
        </w:rPr>
      </w:pPr>
      <w:r w:rsidRPr="00A51800">
        <w:rPr>
          <w:sz w:val="24"/>
          <w:szCs w:val="24"/>
        </w:rPr>
        <w:t xml:space="preserve">Efektivitātes koeficients: </w:t>
      </w:r>
    </w:p>
    <w:tbl>
      <w:tblPr>
        <w:tblStyle w:val="Reatabula"/>
        <w:tblW w:w="0" w:type="auto"/>
        <w:tblLook w:val="04A0" w:firstRow="1" w:lastRow="0" w:firstColumn="1" w:lastColumn="0" w:noHBand="0" w:noVBand="1"/>
      </w:tblPr>
      <w:tblGrid>
        <w:gridCol w:w="890"/>
        <w:gridCol w:w="6794"/>
        <w:gridCol w:w="1377"/>
      </w:tblGrid>
      <w:tr w:rsidR="00B63362" w:rsidTr="00144F42">
        <w:tc>
          <w:tcPr>
            <w:tcW w:w="890" w:type="dxa"/>
          </w:tcPr>
          <w:p w:rsidR="00B63362" w:rsidRDefault="00B63362" w:rsidP="004169EA">
            <w:pPr>
              <w:jc w:val="both"/>
            </w:pPr>
            <w:proofErr w:type="spellStart"/>
            <w:r>
              <w:t>Nr.p.k</w:t>
            </w:r>
            <w:proofErr w:type="spellEnd"/>
            <w:r>
              <w:t>.</w:t>
            </w:r>
          </w:p>
        </w:tc>
        <w:tc>
          <w:tcPr>
            <w:tcW w:w="6794" w:type="dxa"/>
          </w:tcPr>
          <w:p w:rsidR="00B63362" w:rsidRDefault="00A51800" w:rsidP="004169EA">
            <w:pPr>
              <w:jc w:val="center"/>
            </w:pPr>
            <w:r>
              <w:t>Nosaukums</w:t>
            </w:r>
          </w:p>
        </w:tc>
        <w:tc>
          <w:tcPr>
            <w:tcW w:w="1377" w:type="dxa"/>
          </w:tcPr>
          <w:p w:rsidR="00B63362" w:rsidRDefault="00B63362" w:rsidP="004169EA">
            <w:pPr>
              <w:jc w:val="both"/>
            </w:pPr>
            <w:r>
              <w:t>Koeficients</w:t>
            </w:r>
          </w:p>
        </w:tc>
      </w:tr>
      <w:tr w:rsidR="00B63362" w:rsidTr="00144F42">
        <w:tc>
          <w:tcPr>
            <w:tcW w:w="890" w:type="dxa"/>
          </w:tcPr>
          <w:p w:rsidR="00B63362" w:rsidRDefault="00144F42" w:rsidP="004169EA">
            <w:pPr>
              <w:jc w:val="both"/>
            </w:pPr>
            <w:r>
              <w:t>4.1</w:t>
            </w:r>
            <w:r w:rsidR="00B63362">
              <w:t>.</w:t>
            </w:r>
          </w:p>
        </w:tc>
        <w:tc>
          <w:tcPr>
            <w:tcW w:w="6794" w:type="dxa"/>
          </w:tcPr>
          <w:p w:rsidR="00A51800" w:rsidRDefault="00A51800" w:rsidP="004169EA">
            <w:pPr>
              <w:jc w:val="both"/>
            </w:pPr>
            <w:r>
              <w:t>Gaismas reklāma</w:t>
            </w:r>
          </w:p>
        </w:tc>
        <w:tc>
          <w:tcPr>
            <w:tcW w:w="1377" w:type="dxa"/>
          </w:tcPr>
          <w:p w:rsidR="00B63362" w:rsidRDefault="00A51800" w:rsidP="004169EA">
            <w:pPr>
              <w:jc w:val="both"/>
            </w:pPr>
            <w:r>
              <w:t>0,7</w:t>
            </w:r>
          </w:p>
        </w:tc>
      </w:tr>
      <w:tr w:rsidR="00B63362" w:rsidTr="00144F42">
        <w:tc>
          <w:tcPr>
            <w:tcW w:w="890" w:type="dxa"/>
          </w:tcPr>
          <w:p w:rsidR="00B63362" w:rsidRDefault="00144F42" w:rsidP="004169EA">
            <w:pPr>
              <w:jc w:val="both"/>
            </w:pPr>
            <w:r>
              <w:t>4.2</w:t>
            </w:r>
            <w:r w:rsidR="00B63362">
              <w:t>.</w:t>
            </w:r>
          </w:p>
        </w:tc>
        <w:tc>
          <w:tcPr>
            <w:tcW w:w="6794" w:type="dxa"/>
          </w:tcPr>
          <w:p w:rsidR="00B63362" w:rsidRDefault="00A51800" w:rsidP="004169EA">
            <w:pPr>
              <w:jc w:val="both"/>
            </w:pPr>
            <w:r>
              <w:t>Mobilā reklāma</w:t>
            </w:r>
          </w:p>
        </w:tc>
        <w:tc>
          <w:tcPr>
            <w:tcW w:w="1377" w:type="dxa"/>
          </w:tcPr>
          <w:p w:rsidR="00B63362" w:rsidRDefault="00A51800" w:rsidP="004169EA">
            <w:pPr>
              <w:jc w:val="both"/>
            </w:pPr>
            <w:r>
              <w:t>0,15</w:t>
            </w:r>
          </w:p>
        </w:tc>
      </w:tr>
      <w:tr w:rsidR="00A51800" w:rsidTr="00144F42">
        <w:tc>
          <w:tcPr>
            <w:tcW w:w="890" w:type="dxa"/>
          </w:tcPr>
          <w:p w:rsidR="00A51800" w:rsidRDefault="00144F42" w:rsidP="004169EA">
            <w:pPr>
              <w:jc w:val="both"/>
            </w:pPr>
            <w:r>
              <w:t>4.3</w:t>
            </w:r>
            <w:r w:rsidR="00A51800">
              <w:t>.</w:t>
            </w:r>
          </w:p>
        </w:tc>
        <w:tc>
          <w:tcPr>
            <w:tcW w:w="6794" w:type="dxa"/>
          </w:tcPr>
          <w:p w:rsidR="00A51800" w:rsidRDefault="00A51800" w:rsidP="004169EA">
            <w:pPr>
              <w:jc w:val="both"/>
            </w:pPr>
            <w:r>
              <w:t>Pārējās reklāmas</w:t>
            </w:r>
          </w:p>
        </w:tc>
        <w:tc>
          <w:tcPr>
            <w:tcW w:w="1377" w:type="dxa"/>
          </w:tcPr>
          <w:p w:rsidR="00A51800" w:rsidRDefault="00A51800" w:rsidP="004169EA">
            <w:pPr>
              <w:jc w:val="both"/>
            </w:pPr>
            <w:r>
              <w:t>1,5</w:t>
            </w:r>
          </w:p>
        </w:tc>
      </w:tr>
      <w:tr w:rsidR="00A51800" w:rsidTr="00144F42">
        <w:tc>
          <w:tcPr>
            <w:tcW w:w="890" w:type="dxa"/>
          </w:tcPr>
          <w:p w:rsidR="00A51800" w:rsidRDefault="00144F42" w:rsidP="004169EA">
            <w:pPr>
              <w:jc w:val="both"/>
            </w:pPr>
            <w:r>
              <w:t>4.4</w:t>
            </w:r>
            <w:r w:rsidR="00A51800">
              <w:t>.</w:t>
            </w:r>
          </w:p>
        </w:tc>
        <w:tc>
          <w:tcPr>
            <w:tcW w:w="6794" w:type="dxa"/>
          </w:tcPr>
          <w:p w:rsidR="00A51800" w:rsidRDefault="00A51800" w:rsidP="004169EA">
            <w:pPr>
              <w:jc w:val="both"/>
            </w:pPr>
            <w:r>
              <w:t xml:space="preserve">Telpiska reklāma, reklāmas stendi ar </w:t>
            </w:r>
            <w:proofErr w:type="spellStart"/>
            <w:r>
              <w:t>vairākšķautņu</w:t>
            </w:r>
            <w:proofErr w:type="spellEnd"/>
            <w:r>
              <w:t xml:space="preserve"> apdrukās laukumiem</w:t>
            </w:r>
          </w:p>
        </w:tc>
        <w:tc>
          <w:tcPr>
            <w:tcW w:w="1377" w:type="dxa"/>
          </w:tcPr>
          <w:p w:rsidR="00A51800" w:rsidRDefault="00A51800" w:rsidP="004169EA">
            <w:pPr>
              <w:jc w:val="both"/>
            </w:pPr>
            <w:r>
              <w:t>1</w:t>
            </w:r>
          </w:p>
        </w:tc>
      </w:tr>
    </w:tbl>
    <w:p w:rsidR="00A51800" w:rsidRDefault="00A51800" w:rsidP="004169EA">
      <w:pPr>
        <w:rPr>
          <w:b/>
        </w:rPr>
      </w:pPr>
    </w:p>
    <w:p w:rsidR="00A51800" w:rsidRPr="00E105F7" w:rsidRDefault="00A51800" w:rsidP="004169EA">
      <w:pPr>
        <w:pStyle w:val="Sarakstarindkopa"/>
        <w:numPr>
          <w:ilvl w:val="0"/>
          <w:numId w:val="18"/>
        </w:numPr>
        <w:rPr>
          <w:sz w:val="24"/>
          <w:szCs w:val="24"/>
        </w:rPr>
      </w:pPr>
      <w:r w:rsidRPr="00E105F7">
        <w:rPr>
          <w:sz w:val="24"/>
          <w:szCs w:val="24"/>
        </w:rPr>
        <w:t xml:space="preserve">Tematikas koeficients: </w:t>
      </w:r>
    </w:p>
    <w:tbl>
      <w:tblPr>
        <w:tblStyle w:val="Reatabula"/>
        <w:tblW w:w="0" w:type="auto"/>
        <w:tblLook w:val="04A0" w:firstRow="1" w:lastRow="0" w:firstColumn="1" w:lastColumn="0" w:noHBand="0" w:noVBand="1"/>
      </w:tblPr>
      <w:tblGrid>
        <w:gridCol w:w="890"/>
        <w:gridCol w:w="6794"/>
        <w:gridCol w:w="1377"/>
      </w:tblGrid>
      <w:tr w:rsidR="00A51800" w:rsidTr="00D50B15">
        <w:tc>
          <w:tcPr>
            <w:tcW w:w="890" w:type="dxa"/>
          </w:tcPr>
          <w:p w:rsidR="00A51800" w:rsidRDefault="00A51800" w:rsidP="004169EA">
            <w:pPr>
              <w:jc w:val="both"/>
            </w:pPr>
            <w:proofErr w:type="spellStart"/>
            <w:r>
              <w:t>Nr.p.k</w:t>
            </w:r>
            <w:proofErr w:type="spellEnd"/>
            <w:r>
              <w:t>.</w:t>
            </w:r>
          </w:p>
        </w:tc>
        <w:tc>
          <w:tcPr>
            <w:tcW w:w="6794" w:type="dxa"/>
          </w:tcPr>
          <w:p w:rsidR="00A51800" w:rsidRDefault="00A51800" w:rsidP="004169EA">
            <w:pPr>
              <w:jc w:val="center"/>
            </w:pPr>
            <w:r>
              <w:t>Nosaukums</w:t>
            </w:r>
          </w:p>
        </w:tc>
        <w:tc>
          <w:tcPr>
            <w:tcW w:w="1377" w:type="dxa"/>
          </w:tcPr>
          <w:p w:rsidR="00A51800" w:rsidRDefault="00A51800" w:rsidP="004169EA">
            <w:pPr>
              <w:jc w:val="both"/>
            </w:pPr>
            <w:r>
              <w:t>Koeficients</w:t>
            </w:r>
          </w:p>
        </w:tc>
      </w:tr>
      <w:tr w:rsidR="00A51800" w:rsidTr="00D50B15">
        <w:tc>
          <w:tcPr>
            <w:tcW w:w="890" w:type="dxa"/>
          </w:tcPr>
          <w:p w:rsidR="00A51800" w:rsidRDefault="00A51800" w:rsidP="004169EA">
            <w:pPr>
              <w:jc w:val="both"/>
            </w:pPr>
            <w:r>
              <w:t>5.1.</w:t>
            </w:r>
          </w:p>
        </w:tc>
        <w:tc>
          <w:tcPr>
            <w:tcW w:w="6794" w:type="dxa"/>
          </w:tcPr>
          <w:p w:rsidR="00A51800" w:rsidRDefault="00A51800" w:rsidP="004169EA">
            <w:pPr>
              <w:jc w:val="both"/>
            </w:pPr>
            <w:r>
              <w:t>Latvijas Republikā ražotas produkcijas un to komersantu, kas produktu ražo reklāma</w:t>
            </w:r>
          </w:p>
        </w:tc>
        <w:tc>
          <w:tcPr>
            <w:tcW w:w="1377" w:type="dxa"/>
          </w:tcPr>
          <w:p w:rsidR="00A51800" w:rsidRDefault="00E105F7" w:rsidP="004169EA">
            <w:pPr>
              <w:jc w:val="both"/>
            </w:pPr>
            <w:r>
              <w:t>0,25</w:t>
            </w:r>
          </w:p>
        </w:tc>
      </w:tr>
      <w:tr w:rsidR="00A51800" w:rsidTr="00D50B15">
        <w:tc>
          <w:tcPr>
            <w:tcW w:w="890" w:type="dxa"/>
          </w:tcPr>
          <w:p w:rsidR="00A51800" w:rsidRDefault="00D50B15" w:rsidP="004169EA">
            <w:pPr>
              <w:jc w:val="both"/>
            </w:pPr>
            <w:r>
              <w:t>5.2</w:t>
            </w:r>
            <w:r w:rsidR="00A51800">
              <w:t>.</w:t>
            </w:r>
          </w:p>
        </w:tc>
        <w:tc>
          <w:tcPr>
            <w:tcW w:w="6794" w:type="dxa"/>
          </w:tcPr>
          <w:p w:rsidR="00A51800" w:rsidRDefault="00E105F7" w:rsidP="004169EA">
            <w:pPr>
              <w:jc w:val="both"/>
            </w:pPr>
            <w:r>
              <w:t>Tūrismu veicinoša reklāma</w:t>
            </w:r>
          </w:p>
        </w:tc>
        <w:tc>
          <w:tcPr>
            <w:tcW w:w="1377" w:type="dxa"/>
          </w:tcPr>
          <w:p w:rsidR="00A51800" w:rsidRDefault="00E105F7" w:rsidP="004169EA">
            <w:pPr>
              <w:jc w:val="both"/>
            </w:pPr>
            <w:r>
              <w:t>0,25</w:t>
            </w:r>
          </w:p>
        </w:tc>
      </w:tr>
      <w:tr w:rsidR="00A51800" w:rsidTr="00D50B15">
        <w:tc>
          <w:tcPr>
            <w:tcW w:w="890" w:type="dxa"/>
          </w:tcPr>
          <w:p w:rsidR="00A51800" w:rsidRDefault="00D50B15" w:rsidP="004169EA">
            <w:pPr>
              <w:jc w:val="both"/>
            </w:pPr>
            <w:r>
              <w:t>5.3</w:t>
            </w:r>
            <w:r w:rsidR="00A51800">
              <w:t>.</w:t>
            </w:r>
          </w:p>
        </w:tc>
        <w:tc>
          <w:tcPr>
            <w:tcW w:w="6794" w:type="dxa"/>
          </w:tcPr>
          <w:p w:rsidR="00A51800" w:rsidRDefault="00E105F7" w:rsidP="004169EA">
            <w:pPr>
              <w:jc w:val="both"/>
            </w:pPr>
            <w:r>
              <w:t>Pārējās reklāmas</w:t>
            </w:r>
          </w:p>
        </w:tc>
        <w:tc>
          <w:tcPr>
            <w:tcW w:w="1377" w:type="dxa"/>
          </w:tcPr>
          <w:p w:rsidR="00A51800" w:rsidRDefault="002324BB" w:rsidP="004169EA">
            <w:pPr>
              <w:jc w:val="both"/>
            </w:pPr>
            <w:r>
              <w:t>0,3</w:t>
            </w:r>
          </w:p>
        </w:tc>
      </w:tr>
      <w:tr w:rsidR="00A51800" w:rsidTr="00D50B15">
        <w:tc>
          <w:tcPr>
            <w:tcW w:w="890" w:type="dxa"/>
          </w:tcPr>
          <w:p w:rsidR="00A51800" w:rsidRDefault="00D50B15" w:rsidP="004169EA">
            <w:pPr>
              <w:jc w:val="both"/>
            </w:pPr>
            <w:r>
              <w:t>5.4</w:t>
            </w:r>
            <w:r w:rsidR="00A51800">
              <w:t>.</w:t>
            </w:r>
          </w:p>
        </w:tc>
        <w:tc>
          <w:tcPr>
            <w:tcW w:w="6794" w:type="dxa"/>
          </w:tcPr>
          <w:p w:rsidR="00A51800" w:rsidRDefault="002324BB" w:rsidP="004169EA">
            <w:pPr>
              <w:jc w:val="both"/>
            </w:pPr>
            <w:r>
              <w:t>Politiska reklāma, izņemot</w:t>
            </w:r>
            <w:r w:rsidR="00E105F7">
              <w:t xml:space="preserve"> priekšvēlēšanu aģitācijas materiāls</w:t>
            </w:r>
          </w:p>
        </w:tc>
        <w:tc>
          <w:tcPr>
            <w:tcW w:w="1377" w:type="dxa"/>
          </w:tcPr>
          <w:p w:rsidR="00A51800" w:rsidRDefault="00E105F7" w:rsidP="004169EA">
            <w:pPr>
              <w:jc w:val="both"/>
            </w:pPr>
            <w:r>
              <w:t>3</w:t>
            </w:r>
          </w:p>
        </w:tc>
      </w:tr>
      <w:tr w:rsidR="002324BB" w:rsidTr="00D50B15">
        <w:tc>
          <w:tcPr>
            <w:tcW w:w="890" w:type="dxa"/>
          </w:tcPr>
          <w:p w:rsidR="002324BB" w:rsidRDefault="00D50B15" w:rsidP="004169EA">
            <w:pPr>
              <w:jc w:val="both"/>
            </w:pPr>
            <w:r>
              <w:t>5.5</w:t>
            </w:r>
            <w:r w:rsidR="002324BB">
              <w:t>.</w:t>
            </w:r>
          </w:p>
        </w:tc>
        <w:tc>
          <w:tcPr>
            <w:tcW w:w="6794" w:type="dxa"/>
          </w:tcPr>
          <w:p w:rsidR="002324BB" w:rsidRDefault="002324BB" w:rsidP="004169EA">
            <w:pPr>
              <w:jc w:val="both"/>
            </w:pPr>
            <w:r>
              <w:t>Priekšvēlēšanu aģitācijas reklāma</w:t>
            </w:r>
          </w:p>
        </w:tc>
        <w:tc>
          <w:tcPr>
            <w:tcW w:w="1377" w:type="dxa"/>
          </w:tcPr>
          <w:p w:rsidR="002324BB" w:rsidRDefault="002324BB" w:rsidP="004169EA">
            <w:pPr>
              <w:jc w:val="both"/>
            </w:pPr>
            <w:r>
              <w:t>0,25</w:t>
            </w:r>
          </w:p>
        </w:tc>
      </w:tr>
    </w:tbl>
    <w:p w:rsidR="00A51800" w:rsidRDefault="00A51800" w:rsidP="004169EA">
      <w:pPr>
        <w:rPr>
          <w:b/>
        </w:rPr>
      </w:pPr>
    </w:p>
    <w:p w:rsidR="004169EA" w:rsidRPr="004169EA" w:rsidRDefault="004169EA" w:rsidP="004169EA">
      <w:pPr>
        <w:pStyle w:val="Sarakstarindkopa"/>
        <w:numPr>
          <w:ilvl w:val="0"/>
          <w:numId w:val="18"/>
        </w:numPr>
        <w:rPr>
          <w:sz w:val="24"/>
          <w:szCs w:val="24"/>
        </w:rPr>
      </w:pPr>
      <w:r w:rsidRPr="004169EA">
        <w:rPr>
          <w:sz w:val="24"/>
          <w:szCs w:val="24"/>
        </w:rPr>
        <w:t xml:space="preserve">Laukuma koeficients: </w:t>
      </w:r>
    </w:p>
    <w:tbl>
      <w:tblPr>
        <w:tblStyle w:val="Reatabula"/>
        <w:tblW w:w="0" w:type="auto"/>
        <w:tblLook w:val="04A0" w:firstRow="1" w:lastRow="0" w:firstColumn="1" w:lastColumn="0" w:noHBand="0" w:noVBand="1"/>
      </w:tblPr>
      <w:tblGrid>
        <w:gridCol w:w="890"/>
        <w:gridCol w:w="6793"/>
        <w:gridCol w:w="1378"/>
      </w:tblGrid>
      <w:tr w:rsidR="004169EA" w:rsidTr="004169EA">
        <w:tc>
          <w:tcPr>
            <w:tcW w:w="890" w:type="dxa"/>
          </w:tcPr>
          <w:p w:rsidR="004169EA" w:rsidRDefault="004169EA" w:rsidP="004169EA">
            <w:pPr>
              <w:jc w:val="both"/>
            </w:pPr>
            <w:proofErr w:type="spellStart"/>
            <w:r>
              <w:t>Nr.p.k</w:t>
            </w:r>
            <w:proofErr w:type="spellEnd"/>
            <w:r>
              <w:t>.</w:t>
            </w:r>
          </w:p>
        </w:tc>
        <w:tc>
          <w:tcPr>
            <w:tcW w:w="7017" w:type="dxa"/>
          </w:tcPr>
          <w:p w:rsidR="004169EA" w:rsidRDefault="004169EA" w:rsidP="004169EA">
            <w:pPr>
              <w:jc w:val="center"/>
            </w:pPr>
            <w:r>
              <w:t>Nosaukums</w:t>
            </w:r>
          </w:p>
        </w:tc>
        <w:tc>
          <w:tcPr>
            <w:tcW w:w="1380" w:type="dxa"/>
          </w:tcPr>
          <w:p w:rsidR="004169EA" w:rsidRDefault="004169EA" w:rsidP="004169EA">
            <w:pPr>
              <w:jc w:val="both"/>
            </w:pPr>
            <w:r>
              <w:t>Koeficients</w:t>
            </w:r>
          </w:p>
        </w:tc>
      </w:tr>
      <w:tr w:rsidR="004169EA" w:rsidTr="004169EA">
        <w:tc>
          <w:tcPr>
            <w:tcW w:w="890" w:type="dxa"/>
          </w:tcPr>
          <w:p w:rsidR="004169EA" w:rsidRDefault="004169EA" w:rsidP="004169EA">
            <w:pPr>
              <w:jc w:val="both"/>
            </w:pPr>
            <w:r>
              <w:t>6.1.</w:t>
            </w:r>
          </w:p>
        </w:tc>
        <w:tc>
          <w:tcPr>
            <w:tcW w:w="7017" w:type="dxa"/>
          </w:tcPr>
          <w:p w:rsidR="004169EA" w:rsidRDefault="007947BB" w:rsidP="004169EA">
            <w:pPr>
              <w:jc w:val="both"/>
            </w:pPr>
            <w:r>
              <w:t>Līdz 2</w:t>
            </w:r>
            <w:r w:rsidR="004169EA">
              <w:t xml:space="preserve"> m</w:t>
            </w:r>
            <w:r w:rsidR="004169EA" w:rsidRPr="004169EA">
              <w:rPr>
                <w:vertAlign w:val="superscript"/>
              </w:rPr>
              <w:t>2</w:t>
            </w:r>
          </w:p>
        </w:tc>
        <w:tc>
          <w:tcPr>
            <w:tcW w:w="1380" w:type="dxa"/>
          </w:tcPr>
          <w:p w:rsidR="004169EA" w:rsidRDefault="004169EA" w:rsidP="004169EA">
            <w:pPr>
              <w:jc w:val="both"/>
            </w:pPr>
            <w:r>
              <w:t>1</w:t>
            </w:r>
          </w:p>
        </w:tc>
      </w:tr>
      <w:tr w:rsidR="007947BB" w:rsidTr="004169EA">
        <w:tc>
          <w:tcPr>
            <w:tcW w:w="890" w:type="dxa"/>
          </w:tcPr>
          <w:p w:rsidR="007947BB" w:rsidRDefault="007947BB" w:rsidP="004169EA">
            <w:pPr>
              <w:jc w:val="both"/>
            </w:pPr>
            <w:r>
              <w:t>6.3.</w:t>
            </w:r>
          </w:p>
        </w:tc>
        <w:tc>
          <w:tcPr>
            <w:tcW w:w="7017" w:type="dxa"/>
          </w:tcPr>
          <w:p w:rsidR="007947BB" w:rsidRDefault="007947BB" w:rsidP="004169EA">
            <w:pPr>
              <w:jc w:val="both"/>
            </w:pPr>
            <w:r>
              <w:t>No 2 līdz 10</w:t>
            </w:r>
            <w:r w:rsidR="00CF524C">
              <w:t xml:space="preserve"> </w:t>
            </w:r>
            <w:r>
              <w:t>m</w:t>
            </w:r>
            <w:r w:rsidRPr="007947BB">
              <w:rPr>
                <w:vertAlign w:val="superscript"/>
              </w:rPr>
              <w:t>2</w:t>
            </w:r>
          </w:p>
        </w:tc>
        <w:tc>
          <w:tcPr>
            <w:tcW w:w="1380" w:type="dxa"/>
          </w:tcPr>
          <w:p w:rsidR="007947BB" w:rsidRDefault="007947BB" w:rsidP="004169EA">
            <w:pPr>
              <w:jc w:val="both"/>
            </w:pPr>
            <w:r>
              <w:t>0,8</w:t>
            </w:r>
          </w:p>
        </w:tc>
      </w:tr>
      <w:tr w:rsidR="004169EA" w:rsidTr="004169EA">
        <w:tc>
          <w:tcPr>
            <w:tcW w:w="890" w:type="dxa"/>
          </w:tcPr>
          <w:p w:rsidR="004169EA" w:rsidRDefault="004169EA" w:rsidP="004169EA">
            <w:pPr>
              <w:jc w:val="both"/>
            </w:pPr>
            <w:r>
              <w:t>6.2.</w:t>
            </w:r>
          </w:p>
        </w:tc>
        <w:tc>
          <w:tcPr>
            <w:tcW w:w="7017" w:type="dxa"/>
          </w:tcPr>
          <w:p w:rsidR="004169EA" w:rsidRDefault="007947BB" w:rsidP="004169EA">
            <w:pPr>
              <w:jc w:val="both"/>
            </w:pPr>
            <w:r>
              <w:t>No 10</w:t>
            </w:r>
            <w:r w:rsidR="004169EA">
              <w:t xml:space="preserve"> līdz 20 m</w:t>
            </w:r>
            <w:r w:rsidR="004169EA" w:rsidRPr="004169EA">
              <w:rPr>
                <w:vertAlign w:val="superscript"/>
              </w:rPr>
              <w:t>2</w:t>
            </w:r>
          </w:p>
        </w:tc>
        <w:tc>
          <w:tcPr>
            <w:tcW w:w="1380" w:type="dxa"/>
          </w:tcPr>
          <w:p w:rsidR="004169EA" w:rsidRDefault="005378F3" w:rsidP="004169EA">
            <w:pPr>
              <w:jc w:val="both"/>
            </w:pPr>
            <w:r>
              <w:t>0,7</w:t>
            </w:r>
          </w:p>
        </w:tc>
      </w:tr>
      <w:tr w:rsidR="004169EA" w:rsidTr="004169EA">
        <w:tc>
          <w:tcPr>
            <w:tcW w:w="890" w:type="dxa"/>
          </w:tcPr>
          <w:p w:rsidR="004169EA" w:rsidRDefault="004169EA" w:rsidP="004169EA">
            <w:pPr>
              <w:jc w:val="both"/>
            </w:pPr>
            <w:r>
              <w:t>6.3.</w:t>
            </w:r>
          </w:p>
        </w:tc>
        <w:tc>
          <w:tcPr>
            <w:tcW w:w="7017" w:type="dxa"/>
          </w:tcPr>
          <w:p w:rsidR="004169EA" w:rsidRDefault="004169EA" w:rsidP="004169EA">
            <w:pPr>
              <w:jc w:val="both"/>
            </w:pPr>
            <w:r>
              <w:t>Virs 20 m</w:t>
            </w:r>
            <w:r w:rsidRPr="004169EA">
              <w:rPr>
                <w:vertAlign w:val="superscript"/>
              </w:rPr>
              <w:t>2</w:t>
            </w:r>
          </w:p>
        </w:tc>
        <w:tc>
          <w:tcPr>
            <w:tcW w:w="1380" w:type="dxa"/>
          </w:tcPr>
          <w:p w:rsidR="004169EA" w:rsidRDefault="005378F3" w:rsidP="004169EA">
            <w:pPr>
              <w:jc w:val="both"/>
            </w:pPr>
            <w:r>
              <w:t>0,5</w:t>
            </w:r>
          </w:p>
        </w:tc>
      </w:tr>
    </w:tbl>
    <w:p w:rsidR="00B63362" w:rsidRDefault="00B63362" w:rsidP="004169EA">
      <w:pPr>
        <w:jc w:val="center"/>
        <w:rPr>
          <w:b/>
        </w:rPr>
      </w:pPr>
    </w:p>
    <w:p w:rsidR="00B63362" w:rsidRDefault="00F85A3F" w:rsidP="00A81145">
      <w:pPr>
        <w:pStyle w:val="Sarakstarindkopa"/>
        <w:numPr>
          <w:ilvl w:val="0"/>
          <w:numId w:val="18"/>
        </w:numPr>
        <w:ind w:left="0" w:firstLine="360"/>
        <w:jc w:val="both"/>
        <w:rPr>
          <w:sz w:val="24"/>
          <w:szCs w:val="24"/>
        </w:rPr>
      </w:pPr>
      <w:r w:rsidRPr="00A81145">
        <w:rPr>
          <w:sz w:val="24"/>
          <w:szCs w:val="24"/>
        </w:rPr>
        <w:t>Īslaicīgai reklāmai</w:t>
      </w:r>
      <w:r w:rsidR="004959A5">
        <w:rPr>
          <w:sz w:val="24"/>
          <w:szCs w:val="24"/>
        </w:rPr>
        <w:t xml:space="preserve">, laika periodā līdz </w:t>
      </w:r>
      <w:r w:rsidR="00F877D5">
        <w:rPr>
          <w:sz w:val="24"/>
          <w:szCs w:val="24"/>
        </w:rPr>
        <w:t>30 dienām</w:t>
      </w:r>
      <w:r w:rsidR="004959A5">
        <w:rPr>
          <w:sz w:val="24"/>
          <w:szCs w:val="24"/>
        </w:rPr>
        <w:t>,</w:t>
      </w:r>
      <w:r w:rsidRPr="00A81145">
        <w:rPr>
          <w:sz w:val="24"/>
          <w:szCs w:val="24"/>
        </w:rPr>
        <w:t xml:space="preserve"> </w:t>
      </w:r>
      <w:r w:rsidR="00243DA2">
        <w:rPr>
          <w:sz w:val="24"/>
          <w:szCs w:val="24"/>
        </w:rPr>
        <w:t>un kas nepārsniedz 1 (vienu) m</w:t>
      </w:r>
      <w:r w:rsidR="00243DA2" w:rsidRPr="00243DA2">
        <w:rPr>
          <w:sz w:val="24"/>
          <w:szCs w:val="24"/>
          <w:vertAlign w:val="superscript"/>
        </w:rPr>
        <w:t>2</w:t>
      </w:r>
      <w:r w:rsidR="00660B66">
        <w:rPr>
          <w:sz w:val="24"/>
          <w:szCs w:val="24"/>
        </w:rPr>
        <w:t>, nodeva tiek noteikta 0,</w:t>
      </w:r>
      <w:r w:rsidR="00243DA2">
        <w:rPr>
          <w:sz w:val="24"/>
          <w:szCs w:val="24"/>
        </w:rPr>
        <w:t>5</w:t>
      </w:r>
      <w:r w:rsidRPr="00A81145">
        <w:rPr>
          <w:sz w:val="24"/>
          <w:szCs w:val="24"/>
        </w:rPr>
        <w:t xml:space="preserve">0 </w:t>
      </w:r>
      <w:proofErr w:type="spellStart"/>
      <w:r w:rsidRPr="00A81145">
        <w:rPr>
          <w:sz w:val="24"/>
          <w:szCs w:val="24"/>
        </w:rPr>
        <w:t>euro</w:t>
      </w:r>
      <w:proofErr w:type="spellEnd"/>
      <w:r w:rsidRPr="00A81145">
        <w:rPr>
          <w:sz w:val="24"/>
          <w:szCs w:val="24"/>
        </w:rPr>
        <w:t xml:space="preserve"> par vienu eksemp</w:t>
      </w:r>
      <w:r w:rsidR="00243DA2">
        <w:rPr>
          <w:sz w:val="24"/>
          <w:szCs w:val="24"/>
        </w:rPr>
        <w:t xml:space="preserve">lāru </w:t>
      </w:r>
      <w:r w:rsidR="006A4F4C">
        <w:rPr>
          <w:sz w:val="24"/>
          <w:szCs w:val="24"/>
        </w:rPr>
        <w:t>pirmajā diennaktī, un</w:t>
      </w:r>
      <w:r w:rsidRPr="00A81145">
        <w:rPr>
          <w:sz w:val="24"/>
          <w:szCs w:val="24"/>
        </w:rPr>
        <w:t xml:space="preserve"> 0,20 </w:t>
      </w:r>
      <w:proofErr w:type="spellStart"/>
      <w:r w:rsidRPr="00A81145">
        <w:rPr>
          <w:sz w:val="24"/>
          <w:szCs w:val="24"/>
        </w:rPr>
        <w:t>euro</w:t>
      </w:r>
      <w:proofErr w:type="spellEnd"/>
      <w:r w:rsidRPr="00A81145">
        <w:rPr>
          <w:sz w:val="24"/>
          <w:szCs w:val="24"/>
        </w:rPr>
        <w:t xml:space="preserve"> par katru nākamo diennakti. </w:t>
      </w:r>
      <w:r w:rsidR="00243DA2">
        <w:rPr>
          <w:sz w:val="24"/>
          <w:szCs w:val="24"/>
        </w:rPr>
        <w:t>Ja īslaicīgā reklāma pārsniedz 1 (vienu)</w:t>
      </w:r>
      <w:r w:rsidR="00243DA2" w:rsidRPr="00243DA2">
        <w:rPr>
          <w:sz w:val="24"/>
          <w:szCs w:val="24"/>
        </w:rPr>
        <w:t xml:space="preserve"> </w:t>
      </w:r>
      <w:r w:rsidR="00243DA2">
        <w:rPr>
          <w:sz w:val="24"/>
          <w:szCs w:val="24"/>
        </w:rPr>
        <w:t>m</w:t>
      </w:r>
      <w:r w:rsidR="00243DA2" w:rsidRPr="00243DA2">
        <w:rPr>
          <w:sz w:val="24"/>
          <w:szCs w:val="24"/>
          <w:vertAlign w:val="superscript"/>
        </w:rPr>
        <w:t>2</w:t>
      </w:r>
      <w:r w:rsidR="00243DA2">
        <w:rPr>
          <w:sz w:val="24"/>
          <w:szCs w:val="24"/>
        </w:rPr>
        <w:t xml:space="preserve">, nodeva tiek dubultota. </w:t>
      </w:r>
    </w:p>
    <w:p w:rsidR="00EE28B6" w:rsidRPr="00BC620B" w:rsidRDefault="00EE28B6" w:rsidP="00EE28B6">
      <w:pPr>
        <w:pStyle w:val="Sarakstarindkopa"/>
        <w:numPr>
          <w:ilvl w:val="0"/>
          <w:numId w:val="18"/>
        </w:numPr>
        <w:jc w:val="both"/>
        <w:rPr>
          <w:sz w:val="24"/>
          <w:szCs w:val="24"/>
        </w:rPr>
      </w:pPr>
      <w:r>
        <w:rPr>
          <w:sz w:val="24"/>
          <w:szCs w:val="24"/>
        </w:rPr>
        <w:t>Nodeva</w:t>
      </w:r>
      <w:r w:rsidRPr="001B6599">
        <w:rPr>
          <w:sz w:val="24"/>
          <w:szCs w:val="24"/>
        </w:rPr>
        <w:t xml:space="preserve"> par </w:t>
      </w:r>
      <w:r>
        <w:rPr>
          <w:sz w:val="24"/>
          <w:szCs w:val="24"/>
        </w:rPr>
        <w:t xml:space="preserve">reklāmas izvietošanu uz </w:t>
      </w:r>
      <w:r w:rsidRPr="001B6599">
        <w:rPr>
          <w:sz w:val="24"/>
          <w:szCs w:val="24"/>
        </w:rPr>
        <w:t>Kandavas</w:t>
      </w:r>
      <w:r w:rsidRPr="00BC620B">
        <w:rPr>
          <w:sz w:val="24"/>
          <w:szCs w:val="24"/>
        </w:rPr>
        <w:t xml:space="preserve"> </w:t>
      </w:r>
      <w:r>
        <w:rPr>
          <w:sz w:val="24"/>
          <w:szCs w:val="24"/>
        </w:rPr>
        <w:t xml:space="preserve">novada </w:t>
      </w:r>
      <w:r w:rsidRPr="001B6599">
        <w:rPr>
          <w:sz w:val="24"/>
          <w:szCs w:val="24"/>
        </w:rPr>
        <w:t>afišu</w:t>
      </w:r>
      <w:r>
        <w:rPr>
          <w:sz w:val="24"/>
          <w:szCs w:val="24"/>
        </w:rPr>
        <w:t xml:space="preserve"> stabiem un stendiem</w:t>
      </w:r>
      <w:r w:rsidRPr="001B6599">
        <w:rPr>
          <w:sz w:val="24"/>
          <w:szCs w:val="24"/>
        </w:rPr>
        <w:t xml:space="preserve"> </w:t>
      </w:r>
      <w:r w:rsidR="00AC359B">
        <w:rPr>
          <w:sz w:val="24"/>
          <w:szCs w:val="24"/>
        </w:rPr>
        <w:t>nav jāmaksā</w:t>
      </w:r>
      <w:r w:rsidRPr="00BC620B">
        <w:rPr>
          <w:sz w:val="24"/>
          <w:szCs w:val="24"/>
        </w:rPr>
        <w:t xml:space="preserve">.  </w:t>
      </w:r>
    </w:p>
    <w:p w:rsidR="00EE28B6" w:rsidRPr="00EE28B6" w:rsidRDefault="00EE28B6" w:rsidP="00EE28B6">
      <w:pPr>
        <w:jc w:val="both"/>
      </w:pPr>
      <w:bookmarkStart w:id="0" w:name="_GoBack"/>
      <w:bookmarkEnd w:id="0"/>
    </w:p>
    <w:p w:rsidR="006C5B67" w:rsidRDefault="006C5B67" w:rsidP="006C5B67">
      <w:pPr>
        <w:pStyle w:val="Sarakstarindkopa"/>
        <w:ind w:left="360"/>
        <w:jc w:val="both"/>
        <w:rPr>
          <w:sz w:val="24"/>
          <w:szCs w:val="24"/>
        </w:rPr>
      </w:pPr>
    </w:p>
    <w:p w:rsidR="006A0601" w:rsidRDefault="006A0601" w:rsidP="007B4903">
      <w:pPr>
        <w:spacing w:after="200" w:line="276" w:lineRule="auto"/>
        <w:jc w:val="center"/>
        <w:rPr>
          <w:b/>
        </w:rPr>
      </w:pPr>
      <w:r>
        <w:rPr>
          <w:b/>
        </w:rPr>
        <w:lastRenderedPageBreak/>
        <w:t>P</w:t>
      </w:r>
      <w:r w:rsidRPr="008E7D58">
        <w:rPr>
          <w:b/>
        </w:rPr>
        <w:t>askaidrojuma raksts</w:t>
      </w:r>
    </w:p>
    <w:p w:rsidR="00E11170" w:rsidRPr="004B2C18" w:rsidRDefault="00E11170" w:rsidP="004169EA">
      <w:pPr>
        <w:contextualSpacing/>
        <w:jc w:val="center"/>
        <w:rPr>
          <w:b/>
        </w:rPr>
      </w:pPr>
      <w:r w:rsidRPr="004B2C18">
        <w:rPr>
          <w:b/>
        </w:rPr>
        <w:t>Kandavas novad</w:t>
      </w:r>
      <w:r w:rsidR="00E65192">
        <w:rPr>
          <w:b/>
        </w:rPr>
        <w:t>a domes saistošajiem</w:t>
      </w:r>
      <w:r>
        <w:rPr>
          <w:b/>
        </w:rPr>
        <w:t xml:space="preserve"> noteikumi</w:t>
      </w:r>
      <w:r w:rsidR="00E65192">
        <w:rPr>
          <w:b/>
        </w:rPr>
        <w:t>em</w:t>
      </w:r>
      <w:r w:rsidR="00655AE6">
        <w:rPr>
          <w:b/>
        </w:rPr>
        <w:t xml:space="preserve"> Nr.20</w:t>
      </w:r>
    </w:p>
    <w:p w:rsidR="00E11170" w:rsidRDefault="00E11170" w:rsidP="004169EA">
      <w:pPr>
        <w:contextualSpacing/>
        <w:jc w:val="center"/>
        <w:rPr>
          <w:b/>
          <w:szCs w:val="28"/>
        </w:rPr>
      </w:pPr>
      <w:r w:rsidRPr="00C47302">
        <w:rPr>
          <w:b/>
          <w:szCs w:val="28"/>
        </w:rPr>
        <w:t>“</w:t>
      </w:r>
      <w:r w:rsidR="00E65192" w:rsidRPr="007E27A2">
        <w:rPr>
          <w:b/>
          <w:bCs/>
        </w:rPr>
        <w:t xml:space="preserve">Grozījumi  Kandavas novada domes </w:t>
      </w:r>
      <w:r w:rsidR="00482002" w:rsidRPr="00E24BC3">
        <w:rPr>
          <w:b/>
          <w:bCs/>
        </w:rPr>
        <w:t>201</w:t>
      </w:r>
      <w:r w:rsidR="00482002">
        <w:rPr>
          <w:b/>
          <w:bCs/>
        </w:rPr>
        <w:t>6.</w:t>
      </w:r>
      <w:r w:rsidR="00482002" w:rsidRPr="00E24BC3">
        <w:rPr>
          <w:b/>
          <w:bCs/>
        </w:rPr>
        <w:t xml:space="preserve"> gada </w:t>
      </w:r>
      <w:r w:rsidR="00482002">
        <w:rPr>
          <w:b/>
          <w:bCs/>
        </w:rPr>
        <w:t xml:space="preserve">29. septembra </w:t>
      </w:r>
      <w:r w:rsidR="00482002" w:rsidRPr="00E24BC3">
        <w:rPr>
          <w:b/>
          <w:bCs/>
        </w:rPr>
        <w:t xml:space="preserve">saistošajos noteikumos Nr. </w:t>
      </w:r>
      <w:r w:rsidR="00482002">
        <w:rPr>
          <w:b/>
          <w:bCs/>
        </w:rPr>
        <w:t>11</w:t>
      </w:r>
      <w:r w:rsidR="00482002" w:rsidRPr="00E24BC3">
        <w:rPr>
          <w:b/>
          <w:bCs/>
        </w:rPr>
        <w:t xml:space="preserve"> </w:t>
      </w:r>
      <w:r w:rsidR="00482002" w:rsidRPr="00E24BC3">
        <w:rPr>
          <w:b/>
        </w:rPr>
        <w:t>„</w:t>
      </w:r>
      <w:r w:rsidR="00482002" w:rsidRPr="006F4DF1">
        <w:rPr>
          <w:b/>
          <w:shd w:val="clear" w:color="auto" w:fill="FFFFFF"/>
        </w:rPr>
        <w:t xml:space="preserve">Par </w:t>
      </w:r>
      <w:r w:rsidR="00482002">
        <w:rPr>
          <w:b/>
          <w:shd w:val="clear" w:color="auto" w:fill="FFFFFF"/>
        </w:rPr>
        <w:t>pašvaldības nodevām Kandavas novadā</w:t>
      </w:r>
      <w:r w:rsidRPr="0086592B">
        <w:rPr>
          <w:b/>
          <w:szCs w:val="28"/>
        </w:rPr>
        <w:t>””</w:t>
      </w:r>
    </w:p>
    <w:p w:rsidR="00E11170" w:rsidRPr="008D5D94" w:rsidRDefault="00E11170" w:rsidP="004169EA">
      <w:pPr>
        <w:jc w:val="right"/>
      </w:pPr>
      <w:r w:rsidRPr="008D5D94">
        <w:tab/>
      </w:r>
      <w:r w:rsidRPr="008D5D94">
        <w:tab/>
      </w:r>
    </w:p>
    <w:tbl>
      <w:tblPr>
        <w:tblStyle w:val="Reatabula"/>
        <w:tblW w:w="0" w:type="auto"/>
        <w:tblLook w:val="04A0" w:firstRow="1" w:lastRow="0" w:firstColumn="1" w:lastColumn="0" w:noHBand="0" w:noVBand="1"/>
      </w:tblPr>
      <w:tblGrid>
        <w:gridCol w:w="2496"/>
        <w:gridCol w:w="6565"/>
      </w:tblGrid>
      <w:tr w:rsidR="006A0601" w:rsidTr="000A7052">
        <w:tc>
          <w:tcPr>
            <w:tcW w:w="2518" w:type="dxa"/>
          </w:tcPr>
          <w:p w:rsidR="006A0601" w:rsidRPr="00464B41" w:rsidRDefault="00464B41" w:rsidP="00464B41">
            <w:pPr>
              <w:pStyle w:val="Sarakstarindkopa"/>
              <w:numPr>
                <w:ilvl w:val="0"/>
                <w:numId w:val="19"/>
              </w:numPr>
              <w:tabs>
                <w:tab w:val="left" w:pos="0"/>
              </w:tabs>
              <w:ind w:left="0" w:firstLine="0"/>
              <w:rPr>
                <w:rFonts w:eastAsia="Calibri"/>
                <w:bCs/>
                <w:sz w:val="24"/>
                <w:szCs w:val="24"/>
              </w:rPr>
            </w:pPr>
            <w:r w:rsidRPr="00464B41">
              <w:rPr>
                <w:rFonts w:eastAsia="Calibri"/>
                <w:bCs/>
                <w:sz w:val="24"/>
                <w:szCs w:val="24"/>
              </w:rPr>
              <w:t>Īss projekta satura izklāsts</w:t>
            </w:r>
          </w:p>
        </w:tc>
        <w:tc>
          <w:tcPr>
            <w:tcW w:w="6769" w:type="dxa"/>
          </w:tcPr>
          <w:p w:rsidR="00D6374D" w:rsidRDefault="00464B41" w:rsidP="004169EA">
            <w:pPr>
              <w:jc w:val="both"/>
            </w:pPr>
            <w:r>
              <w:t xml:space="preserve">Grozījumi noteikumos nepieciešami saskaņā ar </w:t>
            </w:r>
            <w:r w:rsidR="00D6374D" w:rsidRPr="00030609">
              <w:t>Reklāmas likuma 7.panta trešo daļu,  Ministru kabineta 2012. gada 30. oktobra noteikumiem Nr.732 „</w:t>
            </w:r>
            <w:r w:rsidR="00D6374D" w:rsidRPr="003A7EFD">
              <w:t>Kārtība, kādā saņemama atļauja reklāmas izvietošanai publiskās vietās vai vietās, kas vērstas pret publisku vietu</w:t>
            </w:r>
            <w:r w:rsidR="00D6374D" w:rsidRPr="00030609">
              <w:t>”</w:t>
            </w:r>
            <w:r w:rsidR="00D6374D">
              <w:t xml:space="preserve">. </w:t>
            </w:r>
          </w:p>
          <w:p w:rsidR="00B849F4" w:rsidRPr="00146FDF" w:rsidRDefault="00D6374D" w:rsidP="00D6374D">
            <w:pPr>
              <w:ind w:firstLine="720"/>
              <w:jc w:val="both"/>
            </w:pPr>
            <w:r>
              <w:t xml:space="preserve">Nepieciešamība veikt grozījumus noteikumos ir saskaņā ar </w:t>
            </w:r>
            <w:r w:rsidR="00464B41">
              <w:t xml:space="preserve"> </w:t>
            </w:r>
            <w:r>
              <w:t xml:space="preserve">Kandavas novada domes saistošie noteikumiem Nr. ____ „Par reklāmas </w:t>
            </w:r>
            <w:r w:rsidRPr="00030609">
              <w:t xml:space="preserve">izvietošanu publiskās vietās Kandavas novadā” </w:t>
            </w:r>
            <w:r>
              <w:t xml:space="preserve">kas </w:t>
            </w:r>
            <w:r w:rsidRPr="00030609">
              <w:t xml:space="preserve">izstrādāti, lai nodrošinātu vienotu pieeju reklāmas un reklāmas objektu izvietošanai publiskās vietās Kandavas novadā. </w:t>
            </w:r>
          </w:p>
        </w:tc>
      </w:tr>
      <w:tr w:rsidR="006A0601" w:rsidTr="000A7052">
        <w:tc>
          <w:tcPr>
            <w:tcW w:w="2518" w:type="dxa"/>
          </w:tcPr>
          <w:p w:rsidR="006A0601" w:rsidRPr="00D6374D" w:rsidRDefault="00D6374D" w:rsidP="00D6374D">
            <w:pPr>
              <w:pStyle w:val="Sarakstarindkopa"/>
              <w:numPr>
                <w:ilvl w:val="0"/>
                <w:numId w:val="19"/>
              </w:numPr>
              <w:ind w:left="0" w:firstLine="0"/>
              <w:rPr>
                <w:b/>
                <w:sz w:val="24"/>
                <w:szCs w:val="24"/>
              </w:rPr>
            </w:pPr>
            <w:r w:rsidRPr="00D6374D">
              <w:rPr>
                <w:rFonts w:eastAsia="Calibri"/>
                <w:bCs/>
                <w:sz w:val="24"/>
                <w:szCs w:val="24"/>
              </w:rPr>
              <w:t>Projekta nepieciešamības pamatojums</w:t>
            </w:r>
          </w:p>
        </w:tc>
        <w:tc>
          <w:tcPr>
            <w:tcW w:w="6769" w:type="dxa"/>
          </w:tcPr>
          <w:p w:rsidR="00D6374D" w:rsidRPr="005C1020" w:rsidRDefault="00D6374D" w:rsidP="00D6374D">
            <w:pPr>
              <w:jc w:val="both"/>
            </w:pPr>
            <w:r>
              <w:t xml:space="preserve">Grozījumi paredz kārtību kādā tiek aprēķināta nodeva par reklāmas izvietošanu </w:t>
            </w:r>
            <w:r w:rsidRPr="00145093">
              <w:t>publiskās vietās un vietās, kas vērstas pret publiskām vietām Kandavas novada administratīvajā teritorijā</w:t>
            </w:r>
            <w:r>
              <w:t xml:space="preserve">, nosakot nodevas likmi, koeficientus un aprēķināšanas kārtību.  </w:t>
            </w:r>
          </w:p>
        </w:tc>
      </w:tr>
      <w:tr w:rsidR="003C432F" w:rsidTr="000A7052">
        <w:tc>
          <w:tcPr>
            <w:tcW w:w="2518" w:type="dxa"/>
          </w:tcPr>
          <w:p w:rsidR="00D6374D" w:rsidRPr="00D6374D" w:rsidRDefault="00D6374D" w:rsidP="00D6374D">
            <w:pPr>
              <w:pStyle w:val="Bezatstarpm"/>
              <w:numPr>
                <w:ilvl w:val="0"/>
                <w:numId w:val="19"/>
              </w:numPr>
              <w:ind w:left="0" w:firstLine="0"/>
              <w:jc w:val="both"/>
              <w:rPr>
                <w:sz w:val="24"/>
                <w:szCs w:val="24"/>
                <w:lang w:val="lv-LV"/>
              </w:rPr>
            </w:pPr>
            <w:r>
              <w:rPr>
                <w:sz w:val="24"/>
                <w:szCs w:val="24"/>
                <w:lang w:val="lv-LV"/>
              </w:rPr>
              <w:t xml:space="preserve">Informācija par plānoto projekta ietekmi uz pašvaldības budžeta. </w:t>
            </w:r>
          </w:p>
        </w:tc>
        <w:tc>
          <w:tcPr>
            <w:tcW w:w="6769" w:type="dxa"/>
          </w:tcPr>
          <w:p w:rsidR="003C432F" w:rsidRPr="00A90D83" w:rsidRDefault="001E623C" w:rsidP="001E623C">
            <w:pPr>
              <w:pStyle w:val="Bezatstarpm"/>
              <w:jc w:val="both"/>
              <w:rPr>
                <w:sz w:val="24"/>
                <w:szCs w:val="24"/>
                <w:lang w:val="lv-LV"/>
              </w:rPr>
            </w:pPr>
            <w:r>
              <w:rPr>
                <w:sz w:val="24"/>
                <w:szCs w:val="24"/>
                <w:lang w:val="lv-LV"/>
              </w:rPr>
              <w:t xml:space="preserve">Nav attiecināms. </w:t>
            </w:r>
          </w:p>
        </w:tc>
      </w:tr>
      <w:tr w:rsidR="003C432F" w:rsidTr="000A7052">
        <w:tc>
          <w:tcPr>
            <w:tcW w:w="2518" w:type="dxa"/>
          </w:tcPr>
          <w:p w:rsidR="003C432F" w:rsidRPr="00D6374D" w:rsidRDefault="00350E4E" w:rsidP="00350E4E">
            <w:pPr>
              <w:pStyle w:val="Bezatstarpm"/>
              <w:numPr>
                <w:ilvl w:val="0"/>
                <w:numId w:val="19"/>
              </w:numPr>
              <w:ind w:left="0" w:firstLine="0"/>
              <w:jc w:val="both"/>
              <w:rPr>
                <w:sz w:val="24"/>
                <w:szCs w:val="24"/>
                <w:lang w:val="lv-LV"/>
              </w:rPr>
            </w:pPr>
            <w:r>
              <w:rPr>
                <w:sz w:val="24"/>
                <w:szCs w:val="24"/>
                <w:lang w:val="lv-LV"/>
              </w:rPr>
              <w:t>Informācija par plānoto projekta ietekmi uz uzņēmējdarbības vidi pašvaldības teritorijā.</w:t>
            </w:r>
          </w:p>
        </w:tc>
        <w:tc>
          <w:tcPr>
            <w:tcW w:w="6769" w:type="dxa"/>
          </w:tcPr>
          <w:p w:rsidR="003C432F" w:rsidRDefault="001E623C" w:rsidP="001E623C">
            <w:pPr>
              <w:jc w:val="both"/>
              <w:rPr>
                <w:b/>
              </w:rPr>
            </w:pPr>
            <w:r w:rsidRPr="001E623C">
              <w:t>Noteikumi reglamentēs nodevas par reklāmas izvietošanu publiskās vietās un vietās, kas vērstas pret publiskām vietām maksāšanas kārtību, kas attiecīgi sakārtos uzņēmējdarbības vidi Kandavas novada administratīvajā teritorijā.</w:t>
            </w:r>
          </w:p>
        </w:tc>
      </w:tr>
      <w:tr w:rsidR="003C432F" w:rsidTr="000A7052">
        <w:tc>
          <w:tcPr>
            <w:tcW w:w="2518" w:type="dxa"/>
          </w:tcPr>
          <w:p w:rsidR="003C432F" w:rsidRPr="00146FDF" w:rsidRDefault="003C432F" w:rsidP="004169EA">
            <w:pPr>
              <w:jc w:val="both"/>
              <w:rPr>
                <w:b/>
              </w:rPr>
            </w:pPr>
            <w:r w:rsidRPr="00146FDF">
              <w:rPr>
                <w:rFonts w:eastAsia="Calibri"/>
                <w:bCs/>
              </w:rPr>
              <w:t>5. Informācija par administratīvajām procedūrām.</w:t>
            </w:r>
          </w:p>
        </w:tc>
        <w:tc>
          <w:tcPr>
            <w:tcW w:w="6769" w:type="dxa"/>
          </w:tcPr>
          <w:p w:rsidR="003C432F" w:rsidRPr="00146FDF" w:rsidRDefault="001E623C" w:rsidP="004169EA">
            <w:pPr>
              <w:jc w:val="both"/>
            </w:pPr>
            <w:r>
              <w:t>Nav attiecināms</w:t>
            </w:r>
          </w:p>
        </w:tc>
      </w:tr>
      <w:tr w:rsidR="003C432F" w:rsidTr="000A7052">
        <w:tc>
          <w:tcPr>
            <w:tcW w:w="2518" w:type="dxa"/>
          </w:tcPr>
          <w:p w:rsidR="003C432F" w:rsidRDefault="003C432F" w:rsidP="004169EA">
            <w:pPr>
              <w:jc w:val="both"/>
              <w:rPr>
                <w:b/>
              </w:rPr>
            </w:pPr>
            <w:r w:rsidRPr="008C2BC6">
              <w:rPr>
                <w:rFonts w:eastAsia="Calibri"/>
                <w:bCs/>
              </w:rPr>
              <w:t>6. Informācija par konsultācijām ar privātpersonām.</w:t>
            </w:r>
          </w:p>
        </w:tc>
        <w:tc>
          <w:tcPr>
            <w:tcW w:w="6769" w:type="dxa"/>
          </w:tcPr>
          <w:p w:rsidR="003C432F" w:rsidRDefault="003C432F" w:rsidP="004169EA">
            <w:pPr>
              <w:jc w:val="both"/>
              <w:rPr>
                <w:b/>
              </w:rPr>
            </w:pPr>
            <w:r w:rsidRPr="00D513E7">
              <w:t>Konsultācijas ar privātpersonām, izstrādājot saistošos noteikumus, nav veiktas.</w:t>
            </w:r>
          </w:p>
        </w:tc>
      </w:tr>
    </w:tbl>
    <w:p w:rsidR="006A0601" w:rsidRDefault="006A0601" w:rsidP="004169EA">
      <w:pPr>
        <w:jc w:val="center"/>
        <w:rPr>
          <w:b/>
        </w:rPr>
      </w:pPr>
    </w:p>
    <w:sectPr w:rsidR="006A0601" w:rsidSect="00DE625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3C" w:rsidRDefault="00C5773C" w:rsidP="00DE6251">
      <w:r>
        <w:separator/>
      </w:r>
    </w:p>
  </w:endnote>
  <w:endnote w:type="continuationSeparator" w:id="0">
    <w:p w:rsidR="00C5773C" w:rsidRDefault="00C5773C" w:rsidP="00DE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501"/>
      <w:docPartObj>
        <w:docPartGallery w:val="Page Numbers (Bottom of Page)"/>
        <w:docPartUnique/>
      </w:docPartObj>
    </w:sdtPr>
    <w:sdtEndPr/>
    <w:sdtContent>
      <w:p w:rsidR="00DE6251" w:rsidRDefault="00EF6C69">
        <w:pPr>
          <w:pStyle w:val="Kjene"/>
          <w:jc w:val="center"/>
        </w:pPr>
        <w:r>
          <w:fldChar w:fldCharType="begin"/>
        </w:r>
        <w:r>
          <w:instrText xml:space="preserve"> PAGE   \* MERGEFORMAT </w:instrText>
        </w:r>
        <w:r>
          <w:fldChar w:fldCharType="separate"/>
        </w:r>
        <w:r w:rsidR="00AD5695">
          <w:rPr>
            <w:noProof/>
          </w:rPr>
          <w:t>4</w:t>
        </w:r>
        <w:r>
          <w:rPr>
            <w:noProof/>
          </w:rPr>
          <w:fldChar w:fldCharType="end"/>
        </w:r>
      </w:p>
    </w:sdtContent>
  </w:sdt>
  <w:p w:rsidR="00DE6251" w:rsidRDefault="00DE625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3C" w:rsidRDefault="00C5773C" w:rsidP="00DE6251">
      <w:r>
        <w:separator/>
      </w:r>
    </w:p>
  </w:footnote>
  <w:footnote w:type="continuationSeparator" w:id="0">
    <w:p w:rsidR="00C5773C" w:rsidRDefault="00C5773C" w:rsidP="00DE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807"/>
    <w:multiLevelType w:val="multilevel"/>
    <w:tmpl w:val="32E269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24A04E7E"/>
    <w:multiLevelType w:val="hybridMultilevel"/>
    <w:tmpl w:val="3490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6D3C67"/>
    <w:multiLevelType w:val="hybridMultilevel"/>
    <w:tmpl w:val="64522D56"/>
    <w:lvl w:ilvl="0" w:tplc="C3809AD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B0EA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692803"/>
    <w:multiLevelType w:val="hybridMultilevel"/>
    <w:tmpl w:val="30EAF00E"/>
    <w:lvl w:ilvl="0" w:tplc="1302B72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711901"/>
    <w:multiLevelType w:val="multilevel"/>
    <w:tmpl w:val="B502BFB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BF4BD5"/>
    <w:multiLevelType w:val="hybridMultilevel"/>
    <w:tmpl w:val="84427640"/>
    <w:lvl w:ilvl="0" w:tplc="F5CC50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19477E"/>
    <w:multiLevelType w:val="hybridMultilevel"/>
    <w:tmpl w:val="D24E7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293D74"/>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F2480F"/>
    <w:multiLevelType w:val="hybridMultilevel"/>
    <w:tmpl w:val="91DA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839569C"/>
    <w:multiLevelType w:val="hybridMultilevel"/>
    <w:tmpl w:val="145ED3E8"/>
    <w:lvl w:ilvl="0" w:tplc="DD50F34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9196356"/>
    <w:multiLevelType w:val="hybridMultilevel"/>
    <w:tmpl w:val="2A58E8C6"/>
    <w:lvl w:ilvl="0" w:tplc="B1406748">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46E1332"/>
    <w:multiLevelType w:val="hybridMultilevel"/>
    <w:tmpl w:val="438E1F58"/>
    <w:lvl w:ilvl="0" w:tplc="F740E7B2">
      <w:start w:val="1"/>
      <w:numFmt w:val="decimal"/>
      <w:lvlText w:val="%1)"/>
      <w:lvlJc w:val="left"/>
      <w:pPr>
        <w:ind w:left="1495" w:hanging="360"/>
      </w:pPr>
      <w:rPr>
        <w:rFonts w:ascii="Times New Roman" w:hAnsi="Times New Roman" w:cs="Times New Roman" w:hint="default"/>
        <w:sz w:val="24"/>
        <w:szCs w:val="24"/>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7" w15:restartNumberingAfterBreak="0">
    <w:nsid w:val="697F7A45"/>
    <w:multiLevelType w:val="hybridMultilevel"/>
    <w:tmpl w:val="6B840736"/>
    <w:lvl w:ilvl="0" w:tplc="0A5A605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5"/>
  </w:num>
  <w:num w:numId="4">
    <w:abstractNumId w:val="14"/>
  </w:num>
  <w:num w:numId="5">
    <w:abstractNumId w:val="18"/>
  </w:num>
  <w:num w:numId="6">
    <w:abstractNumId w:val="17"/>
  </w:num>
  <w:num w:numId="7">
    <w:abstractNumId w:val="16"/>
  </w:num>
  <w:num w:numId="8">
    <w:abstractNumId w:val="6"/>
  </w:num>
  <w:num w:numId="9">
    <w:abstractNumId w:val="11"/>
  </w:num>
  <w:num w:numId="10">
    <w:abstractNumId w:val="12"/>
  </w:num>
  <w:num w:numId="11">
    <w:abstractNumId w:val="4"/>
  </w:num>
  <w:num w:numId="12">
    <w:abstractNumId w:val="10"/>
  </w:num>
  <w:num w:numId="13">
    <w:abstractNumId w:val="13"/>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13"/>
  </w:num>
  <w:num w:numId="15">
    <w:abstractNumId w:val="3"/>
  </w:num>
  <w:num w:numId="16">
    <w:abstractNumId w:val="0"/>
  </w:num>
  <w:num w:numId="17">
    <w:abstractNumId w:val="5"/>
  </w:num>
  <w:num w:numId="18">
    <w:abstractNumId w:val="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01"/>
    <w:rsid w:val="00000754"/>
    <w:rsid w:val="000355B4"/>
    <w:rsid w:val="000532F9"/>
    <w:rsid w:val="000663D7"/>
    <w:rsid w:val="00080A34"/>
    <w:rsid w:val="00080A8C"/>
    <w:rsid w:val="0009226D"/>
    <w:rsid w:val="00095B2F"/>
    <w:rsid w:val="000B773F"/>
    <w:rsid w:val="000C570E"/>
    <w:rsid w:val="000E66F3"/>
    <w:rsid w:val="000F1BAC"/>
    <w:rsid w:val="00134172"/>
    <w:rsid w:val="00136F4E"/>
    <w:rsid w:val="00144F42"/>
    <w:rsid w:val="00145093"/>
    <w:rsid w:val="00146FDF"/>
    <w:rsid w:val="001675F5"/>
    <w:rsid w:val="00172AE5"/>
    <w:rsid w:val="001832DF"/>
    <w:rsid w:val="001917F8"/>
    <w:rsid w:val="0019481A"/>
    <w:rsid w:val="001E623C"/>
    <w:rsid w:val="001F0FB3"/>
    <w:rsid w:val="00200F6F"/>
    <w:rsid w:val="00212027"/>
    <w:rsid w:val="0022396F"/>
    <w:rsid w:val="002252A3"/>
    <w:rsid w:val="002252F2"/>
    <w:rsid w:val="002324BB"/>
    <w:rsid w:val="00243DA2"/>
    <w:rsid w:val="002569D3"/>
    <w:rsid w:val="002B3D7D"/>
    <w:rsid w:val="002B772C"/>
    <w:rsid w:val="002C5391"/>
    <w:rsid w:val="002F2755"/>
    <w:rsid w:val="00324F44"/>
    <w:rsid w:val="0033071E"/>
    <w:rsid w:val="00335466"/>
    <w:rsid w:val="003355B0"/>
    <w:rsid w:val="00350E4E"/>
    <w:rsid w:val="003535A8"/>
    <w:rsid w:val="00367AAD"/>
    <w:rsid w:val="00384796"/>
    <w:rsid w:val="00390C9E"/>
    <w:rsid w:val="003C432F"/>
    <w:rsid w:val="003F5552"/>
    <w:rsid w:val="00407731"/>
    <w:rsid w:val="004169EA"/>
    <w:rsid w:val="004177AA"/>
    <w:rsid w:val="00445B64"/>
    <w:rsid w:val="00454EAD"/>
    <w:rsid w:val="004646F3"/>
    <w:rsid w:val="00464B41"/>
    <w:rsid w:val="00467276"/>
    <w:rsid w:val="00476C41"/>
    <w:rsid w:val="00476DB3"/>
    <w:rsid w:val="00482002"/>
    <w:rsid w:val="004959A5"/>
    <w:rsid w:val="004D22E4"/>
    <w:rsid w:val="004E2FFF"/>
    <w:rsid w:val="004F1DE2"/>
    <w:rsid w:val="004F3F12"/>
    <w:rsid w:val="00502759"/>
    <w:rsid w:val="005102AC"/>
    <w:rsid w:val="00511618"/>
    <w:rsid w:val="00523233"/>
    <w:rsid w:val="00527F3A"/>
    <w:rsid w:val="00536C32"/>
    <w:rsid w:val="005378F3"/>
    <w:rsid w:val="00543BCE"/>
    <w:rsid w:val="0055013E"/>
    <w:rsid w:val="005567B7"/>
    <w:rsid w:val="00582F4A"/>
    <w:rsid w:val="005B0524"/>
    <w:rsid w:val="005C1020"/>
    <w:rsid w:val="005C5F7E"/>
    <w:rsid w:val="005D5755"/>
    <w:rsid w:val="005E2D8A"/>
    <w:rsid w:val="00605305"/>
    <w:rsid w:val="00645E4E"/>
    <w:rsid w:val="00653602"/>
    <w:rsid w:val="00655AE6"/>
    <w:rsid w:val="006567F6"/>
    <w:rsid w:val="00660B66"/>
    <w:rsid w:val="006A0601"/>
    <w:rsid w:val="006A0ABB"/>
    <w:rsid w:val="006A3135"/>
    <w:rsid w:val="006A4F4C"/>
    <w:rsid w:val="006B69B6"/>
    <w:rsid w:val="006C5B67"/>
    <w:rsid w:val="006D7945"/>
    <w:rsid w:val="006E066F"/>
    <w:rsid w:val="006F1E4D"/>
    <w:rsid w:val="007162EE"/>
    <w:rsid w:val="00735BB8"/>
    <w:rsid w:val="00744ABA"/>
    <w:rsid w:val="00747C53"/>
    <w:rsid w:val="00761693"/>
    <w:rsid w:val="007625A1"/>
    <w:rsid w:val="007670C4"/>
    <w:rsid w:val="00785887"/>
    <w:rsid w:val="007947BB"/>
    <w:rsid w:val="007A1A0A"/>
    <w:rsid w:val="007A3042"/>
    <w:rsid w:val="007A73D7"/>
    <w:rsid w:val="007B4903"/>
    <w:rsid w:val="007E27A2"/>
    <w:rsid w:val="00807FA2"/>
    <w:rsid w:val="0081129F"/>
    <w:rsid w:val="00814CF5"/>
    <w:rsid w:val="00817F5E"/>
    <w:rsid w:val="00830C6F"/>
    <w:rsid w:val="00841469"/>
    <w:rsid w:val="00846AB0"/>
    <w:rsid w:val="00851798"/>
    <w:rsid w:val="00854EC9"/>
    <w:rsid w:val="00864DEF"/>
    <w:rsid w:val="0086592B"/>
    <w:rsid w:val="00894733"/>
    <w:rsid w:val="008F0797"/>
    <w:rsid w:val="008F0A83"/>
    <w:rsid w:val="00926606"/>
    <w:rsid w:val="00947604"/>
    <w:rsid w:val="0095185E"/>
    <w:rsid w:val="00952A98"/>
    <w:rsid w:val="0095524F"/>
    <w:rsid w:val="00966CEA"/>
    <w:rsid w:val="009846FD"/>
    <w:rsid w:val="009909B9"/>
    <w:rsid w:val="009976F7"/>
    <w:rsid w:val="009A13C5"/>
    <w:rsid w:val="009B2C3B"/>
    <w:rsid w:val="009E39F9"/>
    <w:rsid w:val="009F5318"/>
    <w:rsid w:val="00A01BAC"/>
    <w:rsid w:val="00A163F8"/>
    <w:rsid w:val="00A34B84"/>
    <w:rsid w:val="00A35841"/>
    <w:rsid w:val="00A42EFB"/>
    <w:rsid w:val="00A51800"/>
    <w:rsid w:val="00A52265"/>
    <w:rsid w:val="00A81145"/>
    <w:rsid w:val="00A874CC"/>
    <w:rsid w:val="00AA6288"/>
    <w:rsid w:val="00AB116C"/>
    <w:rsid w:val="00AB1509"/>
    <w:rsid w:val="00AB6E90"/>
    <w:rsid w:val="00AB739C"/>
    <w:rsid w:val="00AC24CA"/>
    <w:rsid w:val="00AC359B"/>
    <w:rsid w:val="00AC3EBA"/>
    <w:rsid w:val="00AC73BE"/>
    <w:rsid w:val="00AD5695"/>
    <w:rsid w:val="00AF4C20"/>
    <w:rsid w:val="00B05BD5"/>
    <w:rsid w:val="00B34BB2"/>
    <w:rsid w:val="00B63362"/>
    <w:rsid w:val="00B669DE"/>
    <w:rsid w:val="00B70581"/>
    <w:rsid w:val="00B77240"/>
    <w:rsid w:val="00B803A4"/>
    <w:rsid w:val="00B8100D"/>
    <w:rsid w:val="00B849F4"/>
    <w:rsid w:val="00B86C7E"/>
    <w:rsid w:val="00B921B7"/>
    <w:rsid w:val="00C1772C"/>
    <w:rsid w:val="00C20D22"/>
    <w:rsid w:val="00C33672"/>
    <w:rsid w:val="00C413C9"/>
    <w:rsid w:val="00C47302"/>
    <w:rsid w:val="00C5773C"/>
    <w:rsid w:val="00C63E39"/>
    <w:rsid w:val="00C649B0"/>
    <w:rsid w:val="00C97BF1"/>
    <w:rsid w:val="00CB1499"/>
    <w:rsid w:val="00CD380E"/>
    <w:rsid w:val="00CE54CE"/>
    <w:rsid w:val="00CF524C"/>
    <w:rsid w:val="00D50B15"/>
    <w:rsid w:val="00D518ED"/>
    <w:rsid w:val="00D61032"/>
    <w:rsid w:val="00D6374D"/>
    <w:rsid w:val="00D8227B"/>
    <w:rsid w:val="00D822AB"/>
    <w:rsid w:val="00D91C78"/>
    <w:rsid w:val="00DC0F04"/>
    <w:rsid w:val="00DD1A75"/>
    <w:rsid w:val="00DE6251"/>
    <w:rsid w:val="00E105F7"/>
    <w:rsid w:val="00E11170"/>
    <w:rsid w:val="00E2063A"/>
    <w:rsid w:val="00E27B18"/>
    <w:rsid w:val="00E31709"/>
    <w:rsid w:val="00E41098"/>
    <w:rsid w:val="00E45C6C"/>
    <w:rsid w:val="00E47063"/>
    <w:rsid w:val="00E53D16"/>
    <w:rsid w:val="00E65192"/>
    <w:rsid w:val="00E97BEA"/>
    <w:rsid w:val="00EB299E"/>
    <w:rsid w:val="00EC0FCF"/>
    <w:rsid w:val="00EC16CD"/>
    <w:rsid w:val="00ED353D"/>
    <w:rsid w:val="00EE28B6"/>
    <w:rsid w:val="00EE7357"/>
    <w:rsid w:val="00EE7C48"/>
    <w:rsid w:val="00EF11B9"/>
    <w:rsid w:val="00EF5A4F"/>
    <w:rsid w:val="00EF6C69"/>
    <w:rsid w:val="00F0120D"/>
    <w:rsid w:val="00F05A56"/>
    <w:rsid w:val="00F51836"/>
    <w:rsid w:val="00F724C5"/>
    <w:rsid w:val="00F85A3F"/>
    <w:rsid w:val="00F86002"/>
    <w:rsid w:val="00F877D5"/>
    <w:rsid w:val="00FC00D7"/>
    <w:rsid w:val="00FC56FE"/>
    <w:rsid w:val="00FC5CFF"/>
    <w:rsid w:val="00FD5B66"/>
    <w:rsid w:val="00FE1C78"/>
    <w:rsid w:val="00FE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AB4F8-C5B3-458D-BB0F-A9BC23F3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060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A0601"/>
    <w:pPr>
      <w:ind w:left="720"/>
      <w:contextualSpacing/>
    </w:pPr>
    <w:rPr>
      <w:sz w:val="20"/>
      <w:szCs w:val="20"/>
    </w:rPr>
  </w:style>
  <w:style w:type="paragraph" w:styleId="Bezatstarpm">
    <w:name w:val="No Spacing"/>
    <w:qFormat/>
    <w:rsid w:val="006A06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uiPriority w:val="39"/>
    <w:rsid w:val="006A0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6A0601"/>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6A0601"/>
    <w:rPr>
      <w:rFonts w:ascii="Times New Roman" w:eastAsia="Times New Roman" w:hAnsi="Times New Roman" w:cs="Times New Roman"/>
      <w:sz w:val="20"/>
      <w:szCs w:val="20"/>
      <w:lang w:eastAsia="lv-LV"/>
    </w:rPr>
  </w:style>
  <w:style w:type="character" w:styleId="Komentraatsauce">
    <w:name w:val="annotation reference"/>
    <w:basedOn w:val="Noklusjumarindkopasfonts"/>
    <w:uiPriority w:val="99"/>
    <w:semiHidden/>
    <w:unhideWhenUsed/>
    <w:rsid w:val="006A0601"/>
    <w:rPr>
      <w:sz w:val="16"/>
      <w:szCs w:val="16"/>
    </w:rPr>
  </w:style>
  <w:style w:type="paragraph" w:styleId="Komentrateksts">
    <w:name w:val="annotation text"/>
    <w:basedOn w:val="Parasts"/>
    <w:link w:val="KomentratekstsRakstz"/>
    <w:uiPriority w:val="99"/>
    <w:semiHidden/>
    <w:unhideWhenUsed/>
    <w:rsid w:val="006A0601"/>
    <w:rPr>
      <w:sz w:val="20"/>
      <w:szCs w:val="20"/>
    </w:rPr>
  </w:style>
  <w:style w:type="character" w:customStyle="1" w:styleId="KomentratekstsRakstz">
    <w:name w:val="Komentāra teksts Rakstz."/>
    <w:basedOn w:val="Noklusjumarindkopasfonts"/>
    <w:link w:val="Komentrateksts"/>
    <w:uiPriority w:val="99"/>
    <w:semiHidden/>
    <w:rsid w:val="006A0601"/>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A060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0601"/>
    <w:rPr>
      <w:rFonts w:ascii="Tahoma" w:eastAsia="Times New Roman" w:hAnsi="Tahoma" w:cs="Tahoma"/>
      <w:sz w:val="16"/>
      <w:szCs w:val="16"/>
      <w:lang w:eastAsia="lv-LV"/>
    </w:rPr>
  </w:style>
  <w:style w:type="paragraph" w:customStyle="1" w:styleId="Rakstz">
    <w:name w:val="Rakstz."/>
    <w:basedOn w:val="Parasts"/>
    <w:rsid w:val="0086592B"/>
    <w:pPr>
      <w:spacing w:before="120" w:after="160" w:line="240" w:lineRule="exact"/>
      <w:ind w:firstLine="720"/>
      <w:jc w:val="both"/>
    </w:pPr>
    <w:rPr>
      <w:rFonts w:ascii="Verdana" w:hAnsi="Verdana"/>
      <w:sz w:val="20"/>
      <w:szCs w:val="20"/>
    </w:rPr>
  </w:style>
  <w:style w:type="paragraph" w:customStyle="1" w:styleId="CharCharCharCharCharChar">
    <w:name w:val="Char Char Char Char Char Char"/>
    <w:basedOn w:val="Parasts"/>
    <w:rsid w:val="00582F4A"/>
    <w:pPr>
      <w:widowControl w:val="0"/>
      <w:adjustRightInd w:val="0"/>
      <w:spacing w:after="160" w:line="240" w:lineRule="exact"/>
      <w:jc w:val="both"/>
    </w:pPr>
    <w:rPr>
      <w:rFonts w:ascii="Tahoma" w:hAnsi="Tahoma"/>
      <w:sz w:val="20"/>
      <w:szCs w:val="20"/>
      <w:lang w:val="en-US" w:eastAsia="en-US"/>
    </w:rPr>
  </w:style>
  <w:style w:type="paragraph" w:styleId="Galvene">
    <w:name w:val="header"/>
    <w:basedOn w:val="Parasts"/>
    <w:link w:val="GalveneRakstz"/>
    <w:uiPriority w:val="99"/>
    <w:unhideWhenUsed/>
    <w:rsid w:val="00DE6251"/>
    <w:pPr>
      <w:tabs>
        <w:tab w:val="center" w:pos="4153"/>
        <w:tab w:val="right" w:pos="8306"/>
      </w:tabs>
    </w:pPr>
  </w:style>
  <w:style w:type="character" w:customStyle="1" w:styleId="GalveneRakstz">
    <w:name w:val="Galvene Rakstz."/>
    <w:basedOn w:val="Noklusjumarindkopasfonts"/>
    <w:link w:val="Galvene"/>
    <w:uiPriority w:val="99"/>
    <w:rsid w:val="00DE625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E6251"/>
    <w:pPr>
      <w:tabs>
        <w:tab w:val="center" w:pos="4153"/>
        <w:tab w:val="right" w:pos="8306"/>
      </w:tabs>
    </w:pPr>
  </w:style>
  <w:style w:type="character" w:customStyle="1" w:styleId="KjeneRakstz">
    <w:name w:val="Kājene Rakstz."/>
    <w:basedOn w:val="Noklusjumarindkopasfonts"/>
    <w:link w:val="Kjene"/>
    <w:uiPriority w:val="99"/>
    <w:rsid w:val="00DE6251"/>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807FA2"/>
    <w:rPr>
      <w:b/>
      <w:bCs/>
    </w:rPr>
  </w:style>
  <w:style w:type="character" w:customStyle="1" w:styleId="KomentratmaRakstz">
    <w:name w:val="Komentāra tēma Rakstz."/>
    <w:basedOn w:val="KomentratekstsRakstz"/>
    <w:link w:val="Komentratma"/>
    <w:uiPriority w:val="99"/>
    <w:semiHidden/>
    <w:rsid w:val="00807FA2"/>
    <w:rPr>
      <w:rFonts w:ascii="Times New Roman" w:eastAsia="Times New Roman" w:hAnsi="Times New Roman" w:cs="Times New Roman"/>
      <w:b/>
      <w:bCs/>
      <w:sz w:val="20"/>
      <w:szCs w:val="20"/>
      <w:lang w:eastAsia="lv-LV"/>
    </w:rPr>
  </w:style>
  <w:style w:type="paragraph" w:customStyle="1" w:styleId="Standard">
    <w:name w:val="Standard"/>
    <w:rsid w:val="007E27A2"/>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customStyle="1" w:styleId="Sarakstarindkopa1">
    <w:name w:val="Saraksta rindkopa1"/>
    <w:basedOn w:val="Standard"/>
    <w:rsid w:val="00511618"/>
    <w:pPr>
      <w:ind w:left="720"/>
    </w:pPr>
    <w:rPr>
      <w:rFonts w:eastAsia="Calibri"/>
      <w:lang w:val="lv-LV" w:eastAsia="lv-LV"/>
    </w:rPr>
  </w:style>
  <w:style w:type="character" w:styleId="Hipersaite">
    <w:name w:val="Hyperlink"/>
    <w:basedOn w:val="Noklusjumarindkopasfonts"/>
    <w:uiPriority w:val="99"/>
    <w:semiHidden/>
    <w:unhideWhenUsed/>
    <w:rsid w:val="00172AE5"/>
    <w:rPr>
      <w:color w:val="0000FF"/>
      <w:u w:val="single"/>
    </w:rPr>
  </w:style>
  <w:style w:type="paragraph" w:customStyle="1" w:styleId="tv213">
    <w:name w:val="tv213"/>
    <w:basedOn w:val="Parasts"/>
    <w:rsid w:val="00172AE5"/>
    <w:pPr>
      <w:spacing w:before="100" w:beforeAutospacing="1" w:after="100" w:afterAutospacing="1"/>
    </w:pPr>
  </w:style>
  <w:style w:type="numbering" w:customStyle="1" w:styleId="WWNum3">
    <w:name w:val="WWNum3"/>
    <w:basedOn w:val="Bezsaraksta"/>
    <w:rsid w:val="006567F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264387697">
          <w:marLeft w:val="0"/>
          <w:marRight w:val="0"/>
          <w:marTop w:val="0"/>
          <w:marBottom w:val="0"/>
          <w:divBdr>
            <w:top w:val="none" w:sz="0" w:space="0" w:color="auto"/>
            <w:left w:val="none" w:sz="0" w:space="0" w:color="auto"/>
            <w:bottom w:val="none" w:sz="0" w:space="0" w:color="auto"/>
            <w:right w:val="none" w:sz="0" w:space="0" w:color="auto"/>
          </w:divBdr>
        </w:div>
        <w:div w:id="478769601">
          <w:marLeft w:val="0"/>
          <w:marRight w:val="0"/>
          <w:marTop w:val="0"/>
          <w:marBottom w:val="0"/>
          <w:divBdr>
            <w:top w:val="none" w:sz="0" w:space="0" w:color="auto"/>
            <w:left w:val="none" w:sz="0" w:space="0" w:color="auto"/>
            <w:bottom w:val="none" w:sz="0" w:space="0" w:color="auto"/>
            <w:right w:val="none" w:sz="0" w:space="0" w:color="auto"/>
          </w:divBdr>
        </w:div>
        <w:div w:id="589317017">
          <w:marLeft w:val="0"/>
          <w:marRight w:val="0"/>
          <w:marTop w:val="0"/>
          <w:marBottom w:val="0"/>
          <w:divBdr>
            <w:top w:val="none" w:sz="0" w:space="0" w:color="auto"/>
            <w:left w:val="none" w:sz="0" w:space="0" w:color="auto"/>
            <w:bottom w:val="none" w:sz="0" w:space="0" w:color="auto"/>
            <w:right w:val="none" w:sz="0" w:space="0" w:color="auto"/>
          </w:divBdr>
        </w:div>
        <w:div w:id="1665477564">
          <w:marLeft w:val="0"/>
          <w:marRight w:val="0"/>
          <w:marTop w:val="0"/>
          <w:marBottom w:val="0"/>
          <w:divBdr>
            <w:top w:val="none" w:sz="0" w:space="0" w:color="auto"/>
            <w:left w:val="none" w:sz="0" w:space="0" w:color="auto"/>
            <w:bottom w:val="none" w:sz="0" w:space="0" w:color="auto"/>
            <w:right w:val="none" w:sz="0" w:space="0" w:color="auto"/>
          </w:divBdr>
        </w:div>
        <w:div w:id="1452628770">
          <w:marLeft w:val="0"/>
          <w:marRight w:val="0"/>
          <w:marTop w:val="0"/>
          <w:marBottom w:val="0"/>
          <w:divBdr>
            <w:top w:val="none" w:sz="0" w:space="0" w:color="auto"/>
            <w:left w:val="none" w:sz="0" w:space="0" w:color="auto"/>
            <w:bottom w:val="none" w:sz="0" w:space="0" w:color="auto"/>
            <w:right w:val="none" w:sz="0" w:space="0" w:color="auto"/>
          </w:divBdr>
        </w:div>
        <w:div w:id="1298995687">
          <w:marLeft w:val="0"/>
          <w:marRight w:val="0"/>
          <w:marTop w:val="0"/>
          <w:marBottom w:val="0"/>
          <w:divBdr>
            <w:top w:val="none" w:sz="0" w:space="0" w:color="auto"/>
            <w:left w:val="none" w:sz="0" w:space="0" w:color="auto"/>
            <w:bottom w:val="none" w:sz="0" w:space="0" w:color="auto"/>
            <w:right w:val="none" w:sz="0" w:space="0" w:color="auto"/>
          </w:divBdr>
        </w:div>
      </w:divsChild>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8B88-1B3B-4C7D-841B-822FCB42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3484</Words>
  <Characters>1986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34</cp:revision>
  <cp:lastPrinted>2017-11-01T11:53:00Z</cp:lastPrinted>
  <dcterms:created xsi:type="dcterms:W3CDTF">2017-10-24T11:54:00Z</dcterms:created>
  <dcterms:modified xsi:type="dcterms:W3CDTF">2017-12-13T12:29:00Z</dcterms:modified>
</cp:coreProperties>
</file>